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Cs/>
          <w:color w:val="000000"/>
          <w:sz w:val="24"/>
        </w:rPr>
      </w:pPr>
      <w:r>
        <w:rPr>
          <w:rFonts w:hint="eastAsia" w:ascii="宋体" w:hAnsi="宋体" w:cs="宋体"/>
          <w:bCs/>
          <w:color w:val="000000"/>
          <w:sz w:val="24"/>
        </w:rPr>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苏</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州</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市</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政</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府</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采</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购</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招</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标</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文</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件</w:t>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tabs>
          <w:tab w:val="left" w:pos="7977" w:leader="none"/>
        </w:tabs>
        <w:rPr>
          <w:rFonts w:hint="eastAsia" w:ascii="宋体" w:hAnsi="宋体" w:cs="宋体"/>
          <w:bCs/>
          <w:color w:val="000000"/>
          <w:sz w:val="24"/>
        </w:rPr>
      </w:pPr>
      <w:r>
        <w:rPr>
          <w:rFonts w:hint="eastAsia" w:ascii="宋体" w:hAnsi="宋体" w:cs="宋体"/>
          <w:bCs/>
          <w:color w:val="000000"/>
          <w:sz w:val="24"/>
        </w:rPr>
        <w:tab/>
      </w:r>
      <w:r/>
    </w:p>
    <w:p>
      <w:pPr>
        <w:pStyle w:val="1028"/>
        <w:spacing w:line="360" w:lineRule="auto"/>
        <w:rPr>
          <w:rFonts w:hint="eastAsia" w:ascii="宋体" w:hAnsi="宋体"/>
          <w:bCs/>
          <w:color w:val="000000"/>
          <w:sz w:val="24"/>
        </w:rPr>
      </w:pPr>
      <w:r>
        <w:rPr>
          <w:rFonts w:hint="eastAsia" w:ascii="宋体" w:hAnsi="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项目编号：</w:t>
      </w:r>
      <w:bookmarkStart w:id="0" w:name="OLE_LINK18"/>
      <w:r>
        <w:rPr>
          <w:rFonts w:hint="eastAsia" w:ascii="宋体" w:hAnsi="宋体" w:cs="宋体"/>
          <w:bCs/>
          <w:color w:val="000000"/>
          <w:sz w:val="24"/>
        </w:rPr>
        <w:t xml:space="preserve">JSZC-320508-CYLY-G2025-0035</w:t>
      </w:r>
      <w:bookmarkEnd w:id="0"/>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采购单位：</w:t>
      </w:r>
      <w:r>
        <w:rPr>
          <w:rFonts w:hint="eastAsia" w:ascii="宋体" w:hAnsi="宋体" w:cs="宋体"/>
          <w:bCs/>
          <w:color w:val="000000"/>
          <w:sz w:val="24"/>
        </w:rPr>
        <w:t xml:space="preserve">苏州市市政设施管理处</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cs="宋体"/>
          <w:bCs/>
          <w:color w:val="000000"/>
          <w:sz w:val="24"/>
        </w:rPr>
        <w:t xml:space="preserve">2026-2027年度市政设施维护服务项目（道路）</w:t>
      </w:r>
      <w:r/>
    </w:p>
    <w:p>
      <w:pPr>
        <w:spacing w:line="360" w:lineRule="auto"/>
        <w:tabs>
          <w:tab w:val="center" w:pos="6264" w:leader="none"/>
        </w:tabs>
        <w:rPr>
          <w:rFonts w:hint="eastAsia" w:ascii="宋体" w:hAnsi="宋体" w:cs="宋体"/>
          <w:bCs/>
          <w:color w:val="000000"/>
          <w:spacing w:val="20"/>
          <w:sz w:val="24"/>
        </w:rPr>
      </w:pPr>
      <w:r>
        <w:rPr>
          <w:rFonts w:hint="eastAsia" w:ascii="宋体" w:hAnsi="宋体" w:cs="宋体"/>
          <w:bCs/>
          <w:color w:val="000000"/>
          <w:sz w:val="24"/>
        </w:rPr>
        <w:t xml:space="preserve">项目类别：服务类</w:t>
      </w:r>
      <w:r/>
    </w:p>
    <w:p>
      <w:pPr>
        <w:ind w:firstLine="2695"/>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ind w:firstLine="1606"/>
        <w:spacing w:line="360" w:lineRule="auto"/>
        <w:rPr>
          <w:rFonts w:hint="eastAsia" w:ascii="宋体" w:hAnsi="宋体" w:cs="宋体"/>
          <w:bCs/>
          <w:color w:val="000000"/>
          <w:sz w:val="24"/>
        </w:rPr>
      </w:pPr>
      <w:r>
        <w:rPr>
          <w:rFonts w:hint="eastAsia" w:ascii="宋体" w:hAnsi="宋体" w:cs="宋体"/>
          <w:bCs/>
          <w:color w:val="000000"/>
          <w:sz w:val="24"/>
        </w:rPr>
      </w:r>
      <w:r/>
    </w:p>
    <w:p>
      <w:pPr>
        <w:ind w:firstLine="2249"/>
        <w:spacing w:line="360" w:lineRule="auto"/>
        <w:rPr>
          <w:rFonts w:hint="eastAsia" w:ascii="宋体" w:hAnsi="宋体" w:cs="宋体"/>
          <w:bCs/>
          <w:color w:val="000000"/>
          <w:sz w:val="24"/>
        </w:rPr>
      </w:pPr>
      <w:r>
        <w:rPr>
          <w:rFonts w:hint="eastAsia" w:ascii="宋体" w:hAnsi="宋体" w:cs="宋体"/>
          <w:bCs/>
          <w:color w:val="000000"/>
          <w:sz w:val="24"/>
        </w:rPr>
        <w:t xml:space="preserve">苏州铖溢林建设工程管理有限公司</w:t>
      </w:r>
      <w:r/>
    </w:p>
    <w:p>
      <w:pPr>
        <w:pStyle w:val="1023"/>
        <w:ind w:firstLine="3534"/>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2025年</w:t>
      </w:r>
      <w:r/>
    </w:p>
    <w:p>
      <w:pPr>
        <w:jc w:val="center"/>
        <w:spacing w:line="360" w:lineRule="auto"/>
        <w:tabs>
          <w:tab w:val="left" w:pos="315" w:leader="none"/>
          <w:tab w:val="center" w:pos="4153" w:leader="none"/>
        </w:tabs>
        <w:rPr>
          <w:rFonts w:hint="eastAsia" w:ascii="宋体" w:hAnsi="宋体" w:cs="宋体"/>
          <w:bCs/>
          <w:color w:val="000000"/>
          <w:sz w:val="24"/>
        </w:rPr>
      </w:pPr>
      <w:r>
        <w:rPr>
          <w:rFonts w:hint="eastAsia" w:ascii="宋体" w:hAnsi="宋体" w:cs="宋体"/>
          <w:bCs/>
          <w:color w:val="000000"/>
          <w:sz w:val="24"/>
        </w:rPr>
        <w:br w:type="page" w:clear="all"/>
      </w:r>
      <w:r>
        <w:rPr>
          <w:rFonts w:hint="eastAsia" w:ascii="宋体" w:hAnsi="宋体" w:cs="宋体"/>
          <w:bCs/>
          <w:color w:val="000000"/>
          <w:sz w:val="24"/>
        </w:rPr>
        <w:t xml:space="preserve">目    录</w:t>
      </w:r>
      <w:r/>
    </w:p>
    <w:p>
      <w:pPr>
        <w:jc w:val="center"/>
        <w:spacing w:line="360" w:lineRule="auto"/>
        <w:tabs>
          <w:tab w:val="left" w:pos="315" w:leader="none"/>
          <w:tab w:val="center" w:pos="4153" w:leader="none"/>
        </w:tabs>
        <w:rPr>
          <w:rFonts w:hint="eastAsia" w:ascii="宋体" w:hAnsi="宋体" w:cs="宋体"/>
          <w:bCs/>
          <w:color w:val="000000"/>
          <w:sz w:val="24"/>
        </w:rPr>
      </w:pPr>
      <w:r>
        <w:rPr>
          <w:rFonts w:hint="eastAsia" w:ascii="宋体" w:hAnsi="宋体" w:cs="宋体"/>
          <w:bCs/>
          <w:color w:val="000000"/>
          <w:sz w:val="24"/>
        </w:rPr>
      </w:r>
      <w:r/>
    </w:p>
    <w:p>
      <w:pPr>
        <w:pStyle w:val="1123"/>
        <w:spacing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前附表</w:t>
      </w:r>
      <w:r/>
    </w:p>
    <w:p>
      <w:pPr>
        <w:pStyle w:val="1123"/>
        <w:spacing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第一章  招标公告</w:t>
      </w:r>
      <w:r/>
    </w:p>
    <w:p>
      <w:pPr>
        <w:pStyle w:val="1123"/>
        <w:spacing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第二章  投标人须知</w:t>
      </w:r>
      <w:r/>
    </w:p>
    <w:p>
      <w:pPr>
        <w:pStyle w:val="1123"/>
        <w:spacing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第三章  投标文件格式</w:t>
      </w:r>
      <w:r/>
    </w:p>
    <w:p>
      <w:pPr>
        <w:pStyle w:val="1123"/>
        <w:spacing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第四章  招标书</w:t>
      </w:r>
      <w:r/>
    </w:p>
    <w:p>
      <w:pPr>
        <w:pStyle w:val="1123"/>
        <w:spacing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第五章  合同及主要条款</w:t>
      </w:r>
      <w:r/>
    </w:p>
    <w:p>
      <w:pPr>
        <w:pStyle w:val="1123"/>
        <w:spacing w:line="360" w:lineRule="auto"/>
        <w:tabs>
          <w:tab w:val="right" w:pos="8302" w:leader="dot"/>
        </w:tabs>
        <w:rPr>
          <w:rFonts w:hint="eastAsia" w:ascii="宋体" w:hAnsi="宋体" w:eastAsia="宋体" w:cs="宋体"/>
          <w:bCs/>
          <w:color w:val="000000"/>
          <w:szCs w:val="24"/>
        </w:rPr>
      </w:pPr>
      <w:r>
        <w:rPr>
          <w:rFonts w:hint="eastAsia" w:ascii="宋体" w:hAnsi="宋体" w:eastAsia="宋体" w:cs="宋体"/>
          <w:bCs/>
          <w:color w:val="000000"/>
          <w:szCs w:val="24"/>
        </w:rPr>
        <w:t xml:space="preserve">第六章  评标办法和评分标准</w:t>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jc w:val="center"/>
        <w:spacing w:line="360" w:lineRule="auto"/>
        <w:rPr>
          <w:rFonts w:hint="eastAsia" w:ascii="宋体" w:hAnsi="宋体" w:cs="宋体"/>
          <w:bCs/>
          <w:color w:val="000000"/>
          <w:spacing w:val="20"/>
          <w:sz w:val="24"/>
        </w:rPr>
      </w:pPr>
      <w:r>
        <w:rPr>
          <w:rFonts w:hint="eastAsia" w:ascii="宋体" w:hAnsi="宋体" w:cs="宋体"/>
          <w:bCs/>
          <w:color w:val="000000"/>
          <w:sz w:val="24"/>
        </w:rPr>
        <w:br w:type="page" w:clear="all"/>
      </w:r>
      <w:r>
        <w:rPr>
          <w:rFonts w:hint="eastAsia" w:ascii="宋体" w:hAnsi="宋体" w:cs="宋体"/>
          <w:bCs/>
          <w:color w:val="000000"/>
          <w:sz w:val="24"/>
        </w:rPr>
        <w:t xml:space="preserve">前附表</w:t>
      </w:r>
      <w:r/>
    </w:p>
    <w:tbl>
      <w:tblPr>
        <w:tblW w:w="9322" w:type="dxa"/>
        <w:tblInd w:w="-108" w:type="dxa"/>
        <w:tblLayout w:type="fixed"/>
        <w:tblLook w:val="04A0" w:firstRow="1" w:lastRow="0" w:firstColumn="1" w:lastColumn="0" w:noHBand="0" w:noVBand="1"/>
      </w:tblPr>
      <w:tblGrid>
        <w:gridCol w:w="608"/>
        <w:gridCol w:w="2012"/>
        <w:gridCol w:w="670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JSZC-320508-CYLY-G2025-0035</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2026-2027年度市政设施维护服务项目（道路）</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获取招标文件</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供应商插入CA证书登陆</w:t>
            </w:r>
            <w:r>
              <w:rPr>
                <w:rFonts w:hint="eastAsia" w:ascii="宋体" w:hAnsi="宋体" w:cs="宋体"/>
                <w:bCs/>
                <w:color w:val="000000"/>
                <w:sz w:val="24"/>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更正（补充）公告及附件的获取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项目的招标（采购）文件的更正、补充（澄清）通知作为招标（采购）文件的组成部分，对投标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电子投标（响应）准备</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02"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供应商在“苏采云”系统中操作成功参与项目后，必须在“已参与项目”界面中下载电子招标（采购）文件（后缀名为“.</w:t>
            </w:r>
            <w:r>
              <w:rPr>
                <w:rFonts w:hint="eastAsia" w:ascii="宋体" w:hAnsi="宋体" w:cs="宋体"/>
                <w:bCs/>
                <w:color w:val="000000"/>
                <w:sz w:val="24"/>
              </w:rPr>
              <w:t xml:space="preserve">kedt</w:t>
            </w:r>
            <w:r>
              <w:rPr>
                <w:rFonts w:hint="eastAsia" w:ascii="宋体" w:hAnsi="宋体" w:cs="宋体"/>
                <w:bCs/>
                <w:color w:val="000000"/>
                <w:sz w:val="24"/>
              </w:rPr>
              <w:t xml:space="preserve">”）并导入政府采购客户端工具后方可进行投标（响应）文件制作和提交（具体详见《苏采云系统供应商操作手册》，网址链接https://czju.suzhou.gov.cn/zfcg/html/content/20231220161910031.shtml）。</w:t>
            </w:r>
            <w:r/>
          </w:p>
        </w:tc>
      </w:tr>
    </w:tbl>
    <w:p>
      <w:pPr>
        <w:pStyle w:val="724"/>
        <w:jc w:val="center"/>
        <w:spacing w:before="0"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bookmarkStart w:id="1" w:name="_Toc388961470"/>
      <w:r/>
      <w:bookmarkStart w:id="2" w:name="_Toc387680517"/>
      <w:r>
        <w:rPr>
          <w:rFonts w:hint="eastAsia" w:ascii="宋体" w:hAnsi="宋体" w:eastAsia="宋体" w:cs="宋体"/>
          <w:bCs/>
          <w:color w:val="000000"/>
          <w:sz w:val="24"/>
          <w:szCs w:val="24"/>
        </w:rPr>
        <w:t xml:space="preserve">第一章  </w:t>
      </w:r>
      <w:bookmarkEnd w:id="1"/>
      <w:r>
        <w:rPr>
          <w:rFonts w:hint="eastAsia" w:ascii="宋体" w:hAnsi="宋体" w:eastAsia="宋体" w:cs="宋体"/>
          <w:bCs/>
          <w:color w:val="000000"/>
          <w:sz w:val="24"/>
          <w:szCs w:val="24"/>
        </w:rPr>
        <w:t xml:space="preserve">招标公告</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80"/>
      </w:tblGrid>
      <w:tr>
        <w:trPr/>
        <w:tc>
          <w:tcPr>
            <w:tcW w:w="9180" w:type="dxa"/>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项目概况</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t xml:space="preserve">2026-2027年度市政设施维护服务项目（道路）</w:t>
            </w:r>
            <w:r>
              <w:rPr>
                <w:rFonts w:hint="eastAsia" w:ascii="宋体" w:hAnsi="宋体" w:cs="宋体"/>
                <w:bCs/>
                <w:color w:val="000000"/>
                <w:sz w:val="24"/>
              </w:rPr>
              <w:t xml:space="preserve">的招标项目的潜在投标人在“苏采云”系统获取招标文件，并于2025年</w:t>
            </w:r>
            <w:r>
              <w:rPr>
                <w:rFonts w:hint="eastAsia" w:ascii="宋体" w:hAnsi="宋体" w:cs="宋体"/>
                <w:bCs/>
                <w:color w:val="000000"/>
                <w:sz w:val="24"/>
              </w:rPr>
              <w:t xml:space="preserve">1</w:t>
            </w:r>
            <w:r>
              <w:rPr>
                <w:rFonts w:hint="eastAsia" w:ascii="宋体" w:hAnsi="宋体" w:cs="宋体"/>
                <w:bCs/>
                <w:color w:val="000000"/>
                <w:sz w:val="24"/>
              </w:rPr>
              <w:t xml:space="preserve">2</w:t>
            </w:r>
            <w:r>
              <w:rPr>
                <w:rFonts w:hint="eastAsia" w:ascii="宋体" w:hAnsi="宋体" w:cs="宋体"/>
                <w:bCs/>
                <w:color w:val="000000"/>
                <w:sz w:val="24"/>
              </w:rPr>
              <w:t xml:space="preserve">月</w:t>
            </w:r>
            <w:r>
              <w:rPr>
                <w:rFonts w:hint="eastAsia" w:ascii="宋体" w:hAnsi="宋体" w:cs="宋体"/>
                <w:bCs/>
                <w:color w:val="000000"/>
                <w:sz w:val="24"/>
              </w:rPr>
              <w:t xml:space="preserve">1</w:t>
            </w:r>
            <w:r>
              <w:rPr>
                <w:rFonts w:hint="eastAsia" w:ascii="宋体" w:hAnsi="宋体" w:cs="宋体"/>
                <w:bCs/>
                <w:color w:val="000000"/>
                <w:sz w:val="24"/>
              </w:rPr>
              <w:t xml:space="preserve">8</w:t>
            </w:r>
            <w:r>
              <w:rPr>
                <w:rFonts w:hint="eastAsia" w:ascii="宋体" w:hAnsi="宋体" w:cs="宋体"/>
                <w:bCs/>
                <w:color w:val="000000"/>
                <w:sz w:val="24"/>
              </w:rPr>
              <w:t xml:space="preserve">日</w:t>
            </w:r>
            <w:r>
              <w:rPr>
                <w:rFonts w:hint="eastAsia" w:ascii="宋体" w:hAnsi="宋体" w:cs="宋体"/>
                <w:bCs/>
                <w:color w:val="000000"/>
                <w:sz w:val="24"/>
              </w:rPr>
              <w:t xml:space="preserve">13</w:t>
            </w:r>
            <w:r>
              <w:rPr>
                <w:rFonts w:hint="eastAsia" w:ascii="宋体" w:hAnsi="宋体" w:cs="宋体"/>
                <w:bCs/>
                <w:color w:val="000000"/>
                <w:sz w:val="24"/>
              </w:rPr>
              <w:t xml:space="preserve">：30（北京时间）前递交投标文件。</w:t>
            </w:r>
            <w:r/>
          </w:p>
        </w:tc>
      </w:tr>
    </w:tbl>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一、项目基本情况</w:t>
      </w:r>
      <w:r/>
    </w:p>
    <w:p>
      <w:pPr>
        <w:ind w:firstLine="480"/>
        <w:spacing w:line="360" w:lineRule="auto"/>
        <w:rPr>
          <w:rFonts w:hint="eastAsia" w:ascii="宋体" w:hAnsi="宋体" w:cs="宋体"/>
          <w:bCs/>
          <w:color w:val="000000"/>
          <w:sz w:val="24"/>
        </w:rPr>
      </w:pPr>
      <w:r/>
      <w:bookmarkStart w:id="3" w:name="OLE_LINK6"/>
      <w:r/>
      <w:bookmarkEnd w:id="2"/>
      <w:r>
        <w:rPr>
          <w:rFonts w:hint="eastAsia" w:ascii="宋体" w:hAnsi="宋体" w:cs="宋体"/>
          <w:bCs/>
          <w:color w:val="000000"/>
          <w:sz w:val="24"/>
        </w:rPr>
        <w:t xml:space="preserve">项目编号：</w:t>
      </w:r>
      <w:r>
        <w:rPr>
          <w:rFonts w:hint="eastAsia" w:ascii="宋体" w:hAnsi="宋体" w:cs="宋体"/>
          <w:bCs/>
          <w:color w:val="000000"/>
          <w:sz w:val="24"/>
        </w:rPr>
        <w:t xml:space="preserve">JSZC-320508-CYLY-G2025-0035</w:t>
      </w:r>
      <w:r>
        <w:rPr>
          <w:rFonts w:hint="eastAsia" w:ascii="宋体" w:hAnsi="宋体" w:cs="宋体"/>
          <w:bCs/>
          <w:color w:val="000000"/>
          <w:sz w:val="24"/>
        </w:rPr>
        <w:t xml:space="preserve">号</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cs="宋体"/>
          <w:bCs/>
          <w:color w:val="000000"/>
          <w:sz w:val="24"/>
        </w:rPr>
        <w:t xml:space="preserve">2026-2027年度市政设施维护服务项目（道路）</w:t>
      </w:r>
      <w:r>
        <w:rPr>
          <w:rFonts w:hint="eastAsia" w:ascii="宋体" w:hAnsi="宋体" w:cs="宋体"/>
          <w:bCs/>
          <w:color w:val="000000"/>
          <w:sz w:val="24"/>
        </w:rPr>
        <w:t xml:space="preserve"> </w:t>
      </w:r>
      <w:bookmarkEnd w:id="3"/>
      <w:r/>
      <w:r/>
    </w:p>
    <w:p>
      <w:pPr>
        <w:ind w:firstLine="480"/>
        <w:spacing w:line="360" w:lineRule="auto"/>
        <w:rPr>
          <w:rFonts w:hint="eastAsia" w:ascii="宋体" w:hAnsi="宋体"/>
          <w:bCs/>
          <w:sz w:val="24"/>
        </w:rPr>
      </w:pPr>
      <w:r>
        <w:rPr>
          <w:rFonts w:hint="eastAsia" w:ascii="宋体" w:hAnsi="宋体"/>
          <w:bCs/>
          <w:sz w:val="24"/>
        </w:rPr>
        <w:t xml:space="preserve">本项目采购预算：</w:t>
      </w:r>
      <w:bookmarkStart w:id="4" w:name="OLE_LINK10"/>
      <w:r/>
      <w:r/>
    </w:p>
    <w:p>
      <w:pPr>
        <w:ind w:firstLine="480"/>
        <w:spacing w:line="360" w:lineRule="auto"/>
        <w:rPr>
          <w:rFonts w:hint="eastAsia" w:ascii="宋体" w:hAnsi="宋体"/>
          <w:bCs/>
          <w:sz w:val="24"/>
        </w:rPr>
      </w:pPr>
      <w:r/>
      <w:bookmarkStart w:id="5" w:name="_Hlk214911483"/>
      <w:r>
        <w:rPr>
          <w:rFonts w:hint="eastAsia" w:ascii="宋体" w:hAnsi="宋体"/>
          <w:bCs/>
          <w:sz w:val="24"/>
        </w:rPr>
        <w:t xml:space="preserve">预算金额：人民币</w:t>
      </w:r>
      <w:bookmarkStart w:id="6" w:name="_Hlk211351664"/>
      <w:r>
        <w:rPr>
          <w:rFonts w:hint="eastAsia" w:ascii="宋体" w:hAnsi="宋体"/>
          <w:bCs/>
          <w:sz w:val="24"/>
        </w:rPr>
        <w:t xml:space="preserve">壹亿壹仟贰佰万</w:t>
      </w:r>
      <w:r>
        <w:rPr>
          <w:rFonts w:hint="eastAsia" w:ascii="宋体" w:hAnsi="宋体"/>
          <w:bCs/>
          <w:sz w:val="24"/>
        </w:rPr>
        <w:t xml:space="preserve">元整（￥</w:t>
      </w:r>
      <w:bookmarkStart w:id="7" w:name="_Hlk211353394"/>
      <w:r>
        <w:rPr>
          <w:rFonts w:hint="eastAsia" w:ascii="宋体" w:hAnsi="宋体"/>
          <w:bCs/>
          <w:sz w:val="24"/>
        </w:rPr>
        <w:t xml:space="preserve">11,200</w:t>
      </w:r>
      <w:r>
        <w:rPr>
          <w:rFonts w:hint="eastAsia" w:ascii="宋体" w:hAnsi="宋体"/>
          <w:bCs/>
          <w:sz w:val="24"/>
        </w:rPr>
        <w:t xml:space="preserve">0000</w:t>
      </w:r>
      <w:r>
        <w:rPr>
          <w:rFonts w:hint="eastAsia" w:ascii="宋体" w:hAnsi="宋体"/>
          <w:bCs/>
          <w:sz w:val="24"/>
        </w:rPr>
        <w:t xml:space="preserve">.00</w:t>
      </w:r>
      <w:bookmarkEnd w:id="7"/>
      <w:r>
        <w:rPr>
          <w:rFonts w:hint="eastAsia" w:ascii="宋体" w:hAnsi="宋体"/>
          <w:bCs/>
          <w:sz w:val="24"/>
        </w:rPr>
        <w:t xml:space="preserve">）</w:t>
      </w:r>
      <w:bookmarkEnd w:id="6"/>
      <w:r/>
      <w:r/>
    </w:p>
    <w:p>
      <w:pPr>
        <w:ind w:firstLine="480"/>
        <w:spacing w:line="360" w:lineRule="auto"/>
        <w:rPr>
          <w:rFonts w:hint="eastAsia" w:ascii="宋体" w:hAnsi="宋体"/>
          <w:bCs/>
          <w:sz w:val="24"/>
        </w:rPr>
      </w:pPr>
      <w:r>
        <w:rPr>
          <w:rFonts w:hint="eastAsia" w:ascii="宋体" w:hAnsi="宋体"/>
          <w:bCs/>
          <w:sz w:val="24"/>
        </w:rPr>
        <w:t xml:space="preserve">最高限价：</w:t>
      </w:r>
      <w:bookmarkStart w:id="8" w:name="OLE_LINK49"/>
      <w:r>
        <w:rPr>
          <w:rFonts w:hint="eastAsia" w:ascii="宋体" w:hAnsi="宋体"/>
          <w:bCs/>
          <w:sz w:val="24"/>
        </w:rPr>
        <w:t xml:space="preserve">人民币</w:t>
      </w:r>
      <w:bookmarkEnd w:id="8"/>
      <w:r>
        <w:rPr>
          <w:rFonts w:hint="eastAsia" w:ascii="宋体" w:hAnsi="宋体"/>
          <w:bCs/>
          <w:sz w:val="24"/>
        </w:rPr>
        <w:t xml:space="preserve">壹亿壹仟壹佰玖拾玖万玖仟捌佰陆拾伍元捌角壹分（￥</w:t>
      </w:r>
      <w:r>
        <w:rPr>
          <w:rFonts w:ascii="宋体" w:hAnsi="宋体"/>
          <w:bCs/>
          <w:sz w:val="24"/>
        </w:rPr>
        <w:t xml:space="preserve">111999865.81</w:t>
      </w:r>
      <w:r>
        <w:rPr>
          <w:rFonts w:hint="eastAsia" w:ascii="宋体" w:hAnsi="宋体"/>
          <w:bCs/>
          <w:sz w:val="24"/>
        </w:rPr>
        <w:t xml:space="preserve">）</w:t>
      </w:r>
      <w:r/>
    </w:p>
    <w:p>
      <w:pPr>
        <w:ind w:firstLine="420"/>
        <w:spacing w:line="360" w:lineRule="auto"/>
        <w:rPr>
          <w:rFonts w:hint="eastAsia" w:ascii="宋体" w:hAnsi="宋体" w:cs="宋体"/>
          <w:sz w:val="24"/>
        </w:rPr>
      </w:pPr>
      <w:r/>
      <w:bookmarkStart w:id="9" w:name="_Hlk211351691"/>
      <w:r>
        <w:rPr>
          <w:rFonts w:hint="eastAsia" w:ascii="宋体" w:hAnsi="宋体" w:cs="宋体"/>
          <w:sz w:val="24"/>
        </w:rPr>
        <w:t xml:space="preserve">其中第一标段：</w:t>
      </w:r>
      <w:r>
        <w:rPr>
          <w:rFonts w:hint="eastAsia" w:ascii="宋体" w:hAnsi="宋体"/>
          <w:bCs/>
          <w:sz w:val="24"/>
        </w:rPr>
        <w:t xml:space="preserve">2026-2027年度市政设施维护服务项目</w:t>
      </w:r>
      <w:r>
        <w:rPr>
          <w:rFonts w:hint="eastAsia" w:ascii="宋体" w:hAnsi="宋体" w:cs="宋体"/>
          <w:sz w:val="24"/>
        </w:rPr>
        <w:t xml:space="preserve">（道路1标）</w:t>
      </w:r>
      <w:r/>
    </w:p>
    <w:p>
      <w:pPr>
        <w:ind w:firstLine="420"/>
        <w:spacing w:line="360" w:lineRule="auto"/>
        <w:rPr>
          <w:rFonts w:hint="eastAsia" w:ascii="宋体" w:hAnsi="宋体" w:cs="宋体"/>
          <w:sz w:val="24"/>
        </w:rPr>
      </w:pPr>
      <w:r>
        <w:rPr>
          <w:rFonts w:hint="eastAsia" w:ascii="宋体" w:hAnsi="宋体" w:cs="宋体"/>
          <w:sz w:val="24"/>
        </w:rPr>
        <w:t xml:space="preserve">预算金额：叁仟伍佰肆拾万元整（￥35400000.00）</w:t>
      </w:r>
      <w:r/>
    </w:p>
    <w:p>
      <w:pPr>
        <w:ind w:firstLine="420"/>
        <w:spacing w:line="360" w:lineRule="auto"/>
        <w:rPr>
          <w:rFonts w:hint="eastAsia" w:ascii="宋体" w:hAnsi="宋体" w:cs="宋体"/>
          <w:sz w:val="24"/>
        </w:rPr>
      </w:pPr>
      <w:r>
        <w:rPr>
          <w:rFonts w:hint="eastAsia" w:ascii="宋体" w:hAnsi="宋体" w:cs="宋体"/>
          <w:sz w:val="24"/>
        </w:rPr>
        <w:t xml:space="preserve">最高限价：</w:t>
      </w:r>
      <w:r>
        <w:rPr>
          <w:rFonts w:hint="eastAsia" w:ascii="宋体" w:hAnsi="宋体" w:cs="宋体"/>
          <w:sz w:val="24"/>
        </w:rPr>
        <w:t xml:space="preserve">叁仟伍佰叁拾玖万玖仟玖佰叁拾叁元玖角整（￥</w:t>
      </w:r>
      <w:r>
        <w:rPr>
          <w:rFonts w:ascii="宋体" w:hAnsi="宋体" w:cs="宋体"/>
          <w:sz w:val="24"/>
        </w:rPr>
        <w:t xml:space="preserve">35399933.9</w:t>
      </w:r>
      <w:r>
        <w:rPr>
          <w:rFonts w:hint="eastAsia" w:ascii="宋体" w:hAnsi="宋体" w:cs="宋体"/>
          <w:sz w:val="24"/>
        </w:rPr>
        <w:t xml:space="preserve">0）</w:t>
      </w:r>
      <w:r/>
    </w:p>
    <w:p>
      <w:pPr>
        <w:ind w:firstLine="420"/>
        <w:spacing w:line="360" w:lineRule="auto"/>
        <w:rPr>
          <w:rFonts w:hint="eastAsia" w:ascii="宋体" w:hAnsi="宋体" w:cs="宋体"/>
          <w:sz w:val="24"/>
        </w:rPr>
      </w:pPr>
      <w:r>
        <w:rPr>
          <w:rFonts w:hint="eastAsia" w:ascii="宋体" w:hAnsi="宋体" w:cs="宋体"/>
          <w:sz w:val="24"/>
        </w:rPr>
        <w:t xml:space="preserve">其中第二标段：</w:t>
      </w:r>
      <w:r>
        <w:rPr>
          <w:rFonts w:hint="eastAsia" w:ascii="宋体" w:hAnsi="宋体"/>
          <w:bCs/>
          <w:sz w:val="24"/>
        </w:rPr>
        <w:t xml:space="preserve">2026-2027年度市政设施维护服务项目</w:t>
      </w:r>
      <w:r>
        <w:rPr>
          <w:rFonts w:hint="eastAsia" w:ascii="宋体" w:hAnsi="宋体" w:cs="宋体"/>
          <w:sz w:val="24"/>
        </w:rPr>
        <w:t xml:space="preserve">（道路2标）</w:t>
      </w:r>
      <w:r/>
    </w:p>
    <w:p>
      <w:pPr>
        <w:ind w:firstLine="420"/>
        <w:spacing w:line="360" w:lineRule="auto"/>
        <w:rPr>
          <w:rFonts w:hint="eastAsia" w:ascii="宋体" w:hAnsi="宋体" w:cs="宋体"/>
          <w:sz w:val="24"/>
        </w:rPr>
      </w:pPr>
      <w:r>
        <w:rPr>
          <w:rFonts w:hint="eastAsia" w:ascii="宋体" w:hAnsi="宋体" w:cs="宋体"/>
          <w:sz w:val="24"/>
        </w:rPr>
        <w:t xml:space="preserve">预算金额：叁仟柒佰贰拾万元整（￥37200000.00）</w:t>
      </w:r>
      <w:r/>
    </w:p>
    <w:p>
      <w:pPr>
        <w:ind w:firstLine="420"/>
        <w:spacing w:line="360" w:lineRule="auto"/>
        <w:rPr>
          <w:rFonts w:hint="eastAsia" w:ascii="宋体" w:hAnsi="宋体" w:cs="宋体"/>
          <w:sz w:val="24"/>
        </w:rPr>
      </w:pPr>
      <w:r>
        <w:rPr>
          <w:rFonts w:hint="eastAsia" w:ascii="宋体" w:hAnsi="宋体" w:cs="宋体"/>
          <w:sz w:val="24"/>
        </w:rPr>
        <w:t xml:space="preserve">最高限价：</w:t>
      </w:r>
      <w:r>
        <w:rPr>
          <w:rFonts w:hint="eastAsia" w:ascii="宋体" w:hAnsi="宋体" w:cs="宋体"/>
          <w:sz w:val="24"/>
        </w:rPr>
        <w:t xml:space="preserve">叁仟柒佰壹拾玖万玖仟玖佰捌拾捌元零贰分（￥</w:t>
      </w:r>
      <w:r>
        <w:rPr>
          <w:rFonts w:ascii="宋体" w:hAnsi="宋体" w:cs="宋体"/>
          <w:sz w:val="24"/>
        </w:rPr>
        <w:t xml:space="preserve">37199988.02</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其中第三标段：</w:t>
      </w:r>
      <w:r>
        <w:rPr>
          <w:rFonts w:hint="eastAsia" w:ascii="宋体" w:hAnsi="宋体"/>
          <w:bCs/>
          <w:sz w:val="24"/>
        </w:rPr>
        <w:t xml:space="preserve">2026-2027年度市政设施维护服务项目</w:t>
      </w:r>
      <w:r>
        <w:rPr>
          <w:rFonts w:hint="eastAsia" w:ascii="宋体" w:hAnsi="宋体" w:cs="宋体"/>
          <w:sz w:val="24"/>
        </w:rPr>
        <w:t xml:space="preserve">（道路3标）</w:t>
      </w:r>
      <w:r/>
    </w:p>
    <w:p>
      <w:pPr>
        <w:ind w:firstLine="420"/>
        <w:spacing w:line="360" w:lineRule="auto"/>
        <w:rPr>
          <w:rFonts w:hint="eastAsia" w:ascii="宋体" w:hAnsi="宋体" w:cs="宋体"/>
          <w:sz w:val="24"/>
        </w:rPr>
      </w:pPr>
      <w:r>
        <w:rPr>
          <w:rFonts w:hint="eastAsia" w:ascii="宋体" w:hAnsi="宋体" w:cs="宋体"/>
          <w:sz w:val="24"/>
        </w:rPr>
        <w:t xml:space="preserve">预算金额：叁仟玖佰肆拾万元整（￥39400000.00）</w:t>
      </w:r>
      <w:r/>
    </w:p>
    <w:p>
      <w:pPr>
        <w:pStyle w:val="1289"/>
        <w:ind w:firstLine="480"/>
        <w:rPr>
          <w:rFonts w:hint="eastAsia" w:ascii="宋体" w:hAnsi="宋体" w:cs="宋体"/>
          <w:sz w:val="24"/>
          <w:szCs w:val="24"/>
        </w:rPr>
      </w:pPr>
      <w:r>
        <w:rPr>
          <w:rFonts w:hint="eastAsia" w:ascii="宋体" w:hAnsi="宋体" w:cs="宋体"/>
          <w:sz w:val="24"/>
        </w:rPr>
        <w:t xml:space="preserve">最高限价：</w:t>
      </w:r>
      <w:r>
        <w:rPr>
          <w:rFonts w:hint="eastAsia" w:ascii="宋体" w:hAnsi="宋体" w:cs="宋体"/>
          <w:sz w:val="24"/>
        </w:rPr>
        <w:t xml:space="preserve">叁仟玖佰叁拾玖万玖仟玖佰肆拾叁元捌角玖分（￥</w:t>
      </w:r>
      <w:r>
        <w:rPr>
          <w:rFonts w:ascii="宋体" w:hAnsi="宋体" w:cs="宋体"/>
          <w:sz w:val="24"/>
        </w:rPr>
        <w:t xml:space="preserve">39399943.89</w:t>
      </w:r>
      <w:r>
        <w:rPr>
          <w:rFonts w:hint="eastAsia" w:ascii="宋体" w:hAnsi="宋体" w:cs="宋体"/>
          <w:sz w:val="24"/>
        </w:rPr>
        <w:t xml:space="preserve">），</w:t>
      </w:r>
      <w:r>
        <w:rPr>
          <w:rFonts w:hint="eastAsia" w:ascii="宋体" w:hAnsi="宋体" w:cs="宋体"/>
          <w:sz w:val="24"/>
          <w:szCs w:val="24"/>
        </w:rPr>
        <w:t xml:space="preserve">报价不得超过此最高限价，超过为无效标。</w:t>
      </w:r>
      <w:r/>
    </w:p>
    <w:p>
      <w:pPr>
        <w:ind w:firstLine="420"/>
        <w:spacing w:line="360" w:lineRule="auto"/>
        <w:rPr>
          <w:rFonts w:hint="eastAsia" w:ascii="宋体" w:hAnsi="宋体" w:cs="宋体"/>
          <w:sz w:val="24"/>
        </w:rPr>
      </w:pPr>
      <w:r>
        <w:rPr>
          <w:rFonts w:hint="eastAsia" w:ascii="宋体" w:hAnsi="宋体" w:cs="宋体"/>
          <w:sz w:val="24"/>
        </w:rPr>
        <w:t xml:space="preserve">注：本项目单价报价与总价报价均不可超采购清单中的单价最高限价和合价最高限价，超过为无效标。</w:t>
      </w:r>
      <w:bookmarkEnd w:id="5"/>
      <w:r/>
      <w:bookmarkEnd w:id="9"/>
      <w:r/>
      <w:r/>
    </w:p>
    <w:p>
      <w:pPr>
        <w:ind w:firstLine="420"/>
        <w:spacing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、采购需求的简要说明：</w:t>
      </w:r>
      <w:r/>
    </w:p>
    <w:p>
      <w:pPr>
        <w:pStyle w:val="745"/>
        <w:ind w:firstLine="480"/>
        <w:rPr>
          <w:rFonts w:hint="eastAsia"/>
          <w:color w:val="424242"/>
          <w:sz w:val="24"/>
          <w:szCs w:val="24"/>
        </w:rPr>
      </w:pPr>
      <w:r>
        <w:rPr>
          <w:rFonts w:hint="eastAsia"/>
          <w:color w:val="424242"/>
          <w:sz w:val="24"/>
          <w:szCs w:val="24"/>
        </w:rPr>
        <w:t xml:space="preserve">1、</w:t>
      </w:r>
      <w:r>
        <w:rPr>
          <w:rFonts w:hint="eastAsia"/>
          <w:color w:val="424242"/>
          <w:sz w:val="24"/>
          <w:szCs w:val="24"/>
        </w:rPr>
        <w:t xml:space="preserve">2026-2027年度市政设施维护服务项目（道路）</w:t>
      </w:r>
      <w:r>
        <w:rPr>
          <w:rFonts w:hint="eastAsia"/>
          <w:color w:val="424242"/>
          <w:sz w:val="24"/>
          <w:szCs w:val="24"/>
        </w:rPr>
        <w:t xml:space="preserve">包括</w:t>
      </w:r>
      <w:r>
        <w:rPr>
          <w:rFonts w:hint="eastAsia"/>
          <w:sz w:val="24"/>
          <w:szCs w:val="24"/>
        </w:rPr>
        <w:t xml:space="preserve">服务期限内对服务对象进行日常巡视，针对不同损坏程度、病害情况进行相适应的零星维护或者专项维护及应急抢险等</w:t>
      </w:r>
      <w:r>
        <w:rPr>
          <w:rFonts w:hint="eastAsia"/>
          <w:sz w:val="24"/>
          <w:szCs w:val="24"/>
        </w:rPr>
        <w:t xml:space="preserve">维护</w:t>
      </w:r>
      <w:r>
        <w:rPr>
          <w:rFonts w:hint="eastAsia"/>
          <w:sz w:val="24"/>
          <w:szCs w:val="24"/>
        </w:rPr>
        <w:t xml:space="preserve">管理</w:t>
      </w:r>
      <w:r>
        <w:rPr>
          <w:rFonts w:hint="eastAsia"/>
          <w:sz w:val="24"/>
          <w:szCs w:val="24"/>
        </w:rPr>
        <w:t xml:space="preserve">工作</w:t>
      </w:r>
      <w:r>
        <w:rPr>
          <w:rFonts w:hint="eastAsia"/>
          <w:color w:val="424242"/>
          <w:sz w:val="24"/>
          <w:szCs w:val="24"/>
        </w:rPr>
        <w:t xml:space="preserve">内容。</w:t>
      </w:r>
      <w:r/>
    </w:p>
    <w:p>
      <w:pPr>
        <w:ind w:firstLine="420"/>
        <w:spacing w:line="360" w:lineRule="auto"/>
        <w:tabs>
          <w:tab w:val="left" w:pos="840" w:leader="none"/>
        </w:tabs>
        <w:rPr>
          <w:rFonts w:hint="eastAsia" w:ascii="宋体" w:hAnsi="宋体"/>
          <w:sz w:val="24"/>
        </w:rPr>
      </w:pPr>
      <w:r>
        <w:rPr>
          <w:rFonts w:hint="eastAsia" w:ascii="宋体" w:hAnsi="宋体"/>
          <w:sz w:val="24"/>
        </w:rPr>
        <w:t xml:space="preserve">第一标段：2026-2027年度市政设施维护服务项目（道路1标）</w:t>
      </w:r>
      <w:r/>
    </w:p>
    <w:p>
      <w:pPr>
        <w:ind w:firstLine="420"/>
        <w:spacing w:line="360" w:lineRule="auto"/>
        <w:tabs>
          <w:tab w:val="left" w:pos="840" w:leader="none"/>
        </w:tabs>
        <w:rPr>
          <w:rFonts w:hint="eastAsia" w:ascii="宋体" w:hAnsi="宋体"/>
          <w:szCs w:val="21"/>
        </w:rPr>
      </w:pPr>
      <w:r>
        <w:rPr>
          <w:rFonts w:hint="eastAsia" w:ascii="宋体" w:hAnsi="宋体"/>
          <w:sz w:val="24"/>
        </w:rPr>
        <w:t xml:space="preserve">项目实施范围包括：苏锦街道及平江街道环古城河以外区域等范围道路（不含干将东路），包括北环东路、江宇路、总官堂路、广济北路、日规路等道路，车行道面积约169.12万平方米，人行道面积约41.45万平方米。其中养护等级I等的道路总长约51547米，设施量为车行道约1376017.14平方米，人行道约330796.13平方米，平侧石约451877.06米；养护等级II等的道路总长约18946米，设施量为车行道约315230.06平方米，人行道约83664.17平方米，平侧石约111959.25米</w:t>
      </w:r>
      <w:r/>
    </w:p>
    <w:p>
      <w:pPr>
        <w:ind w:firstLine="422"/>
        <w:spacing w:line="360" w:lineRule="auto"/>
        <w:tabs>
          <w:tab w:val="left" w:pos="840" w:leader="none"/>
        </w:tabs>
        <w:rPr>
          <w:rFonts w:hint="eastAsia" w:ascii="宋体" w:hAnsi="宋体"/>
          <w:sz w:val="24"/>
        </w:rPr>
      </w:pPr>
      <w:r>
        <w:rPr>
          <w:rFonts w:hint="eastAsia" w:ascii="宋体" w:hAnsi="宋体"/>
          <w:sz w:val="24"/>
        </w:rPr>
        <w:t xml:space="preserve">第二标段：2026-2027年度市政设施维护服务项目（道路2标）</w:t>
      </w:r>
      <w:r/>
    </w:p>
    <w:p>
      <w:pPr>
        <w:pStyle w:val="745"/>
        <w:ind w:firstLine="480"/>
        <w:rPr>
          <w:rFonts w:hint="eastAsia"/>
          <w:sz w:val="24"/>
          <w:szCs w:val="24"/>
        </w:rPr>
      </w:pPr>
      <w:r>
        <w:rPr>
          <w:rFonts w:hint="eastAsia"/>
          <w:sz w:val="24"/>
          <w:szCs w:val="24"/>
        </w:rPr>
        <w:t xml:space="preserve">项目实施范围包括：白洋湾街道、虎丘街道环古城河以外区域等范围道路，其中北环西路东至广济路口（含路口），包括西园路、虎丘路、虎池路、藕前路、虎泉路等道路，车行道面积约160.87万平方米，人行道面积约37.47万平方米。其中养护等级I等的道路总长约47777米，设施量为车行道约1347645.66平方米，人行道约306775.71平方米，平侧石约436896.45米；养护等级II等的道路总长约13120米，设施量为车行道约261046.97平方米，人行道约62171平方米，平侧石约67904米。</w:t>
      </w:r>
      <w:r/>
    </w:p>
    <w:p>
      <w:pPr>
        <w:ind w:firstLine="480"/>
        <w:spacing w:line="360" w:lineRule="auto"/>
        <w:tabs>
          <w:tab w:val="left" w:pos="840" w:leader="none"/>
        </w:tabs>
        <w:rPr>
          <w:rFonts w:hint="eastAsia" w:ascii="宋体" w:hAnsi="宋体"/>
          <w:sz w:val="24"/>
        </w:rPr>
      </w:pPr>
      <w:r>
        <w:rPr>
          <w:rFonts w:hint="eastAsia" w:ascii="宋体" w:hAnsi="宋体"/>
          <w:sz w:val="24"/>
        </w:rPr>
        <w:t xml:space="preserve">第三标段：2026-2027年度市政设施维护服务项目（道路3标）</w:t>
      </w:r>
      <w:r/>
    </w:p>
    <w:p>
      <w:pPr>
        <w:pStyle w:val="745"/>
        <w:ind w:firstLine="480"/>
        <w:rPr>
          <w:rFonts w:hint="eastAsia"/>
          <w:sz w:val="24"/>
          <w:szCs w:val="24"/>
        </w:rPr>
      </w:pPr>
      <w:r>
        <w:rPr>
          <w:rFonts w:hint="eastAsia"/>
          <w:sz w:val="24"/>
          <w:szCs w:val="24"/>
        </w:rPr>
        <w:t xml:space="preserve">项目实施范围包</w:t>
      </w:r>
      <w:r>
        <w:rPr>
          <w:rFonts w:hint="eastAsia"/>
          <w:sz w:val="24"/>
          <w:szCs w:val="24"/>
        </w:rPr>
        <w:t xml:space="preserve">括：吴门桥街道、双塔街道、沧浪街道、金阊街道环古城河以外区域等范围道路（含干将东路及沿线路口），包括南环西路、盘胥路、烽火路、干将西路、劳动路等道路，车行道面积约193.72万平方米，人行道面积约54.12万平方米。其中养护等级I等的道路总长约57301米，设施量为车行道约1494037.05平方米，人行道约410536.56平方米，平侧石约482341.35米；养护等级II等的道路总长约32668米，设施量为车行道约433901.26平方米，人行道约128770.88平方米，平侧石约140405.83米。</w:t>
      </w:r>
      <w:r/>
    </w:p>
    <w:p>
      <w:pPr>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、合同履行期限：</w:t>
      </w:r>
      <w:r/>
    </w:p>
    <w:p>
      <w:pPr>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.1服务周期：</w:t>
      </w:r>
      <w:r>
        <w:rPr>
          <w:rFonts w:hint="eastAsia" w:ascii="宋体" w:hAnsi="宋体" w:cs="宋体"/>
          <w:sz w:val="24"/>
        </w:rPr>
        <w:t xml:space="preserve">2026年1月1日</w:t>
      </w:r>
      <w:r>
        <w:rPr>
          <w:rFonts w:hint="eastAsia" w:ascii="宋体" w:hAnsi="宋体" w:cs="宋体"/>
          <w:sz w:val="24"/>
        </w:rPr>
        <w:t xml:space="preserve">起至202</w:t>
      </w:r>
      <w:r>
        <w:rPr>
          <w:rFonts w:hint="eastAsia" w:ascii="宋体" w:hAnsi="宋体" w:cs="宋体"/>
          <w:sz w:val="24"/>
        </w:rPr>
        <w:t xml:space="preserve">7</w:t>
      </w:r>
      <w:r>
        <w:rPr>
          <w:rFonts w:hint="eastAsia" w:ascii="宋体" w:hAnsi="宋体" w:cs="宋体"/>
          <w:sz w:val="24"/>
        </w:rPr>
        <w:t xml:space="preserve">年12月31日止。</w:t>
      </w:r>
      <w:r>
        <w:rPr>
          <w:rFonts w:hint="eastAsia" w:ascii="宋体" w:hAnsi="宋体" w:cs="宋体"/>
          <w:sz w:val="24"/>
        </w:rPr>
        <w:t xml:space="preserve">（具体起始时间按采购方通知为准）</w:t>
      </w:r>
      <w:r/>
    </w:p>
    <w:p>
      <w:pPr>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.2服务地点：苏州市市政设施管理处指定地点。</w:t>
      </w:r>
      <w:r/>
    </w:p>
    <w:p>
      <w:pPr>
        <w:ind w:firstLine="42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验收标准：采购方根据国家和行业标准及采购文件要求进行质量验收。</w:t>
      </w:r>
      <w:r/>
    </w:p>
    <w:p>
      <w:pPr>
        <w:ind w:firstLine="42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sz w:val="24"/>
        </w:rPr>
        <w:t xml:space="preserve">本次采购共分为三个标段，投标人可选择其中一个标段参与投标亦可三个标段全部参与，但每家供应商最多只能中标一个标段。标段评审顺序按数字</w:t>
      </w:r>
      <w:r>
        <w:rPr>
          <w:rFonts w:hint="eastAsia" w:ascii="宋体" w:hAnsi="宋体"/>
          <w:sz w:val="24"/>
        </w:rPr>
        <w:t xml:space="preserve">自然排列顺序,进入每个标段评审的实质性响应且具有得标权（已在前期各标段评审中中标的供应商，不再具有该标段的得标权）的供应商不得少于3家，否则该标段采购失败。</w:t>
      </w:r>
      <w:bookmarkEnd w:id="4"/>
      <w:r/>
      <w:r/>
    </w:p>
    <w:p>
      <w:pPr>
        <w:ind w:right="31" w:firstLine="480"/>
        <w:spacing w:line="360" w:lineRule="auto"/>
        <w:tabs>
          <w:tab w:val="left" w:pos="4665" w:leader="none"/>
        </w:tabs>
        <w:rPr>
          <w:rFonts w:hint="eastAsia" w:ascii="宋体" w:hAnsi="宋体" w:cs="宋体"/>
          <w:bCs/>
          <w:color w:val="000000"/>
          <w:sz w:val="24"/>
        </w:rPr>
      </w:pPr>
      <w:r>
        <w:rPr>
          <w:rFonts w:hint="eastAsia" w:ascii="宋体" w:hAnsi="宋体" w:cs="宋体"/>
          <w:bCs/>
          <w:color w:val="000000"/>
          <w:sz w:val="24"/>
        </w:rPr>
        <w:t xml:space="preserve">三、申请人的资格要求：</w:t>
      </w:r>
      <w:r>
        <w:rPr>
          <w:rFonts w:hint="eastAsia" w:ascii="宋体" w:hAnsi="宋体" w:cs="宋体"/>
          <w:bCs/>
          <w:color w:val="000000"/>
          <w:sz w:val="24"/>
        </w:rPr>
        <w:tab/>
      </w:r>
      <w:r/>
    </w:p>
    <w:p>
      <w:pPr>
        <w:ind w:firstLine="480"/>
        <w:spacing w:line="360" w:lineRule="auto"/>
        <w:rPr>
          <w:rFonts w:hint="eastAsia" w:ascii="宋体" w:hAnsi="宋体" w:cs="宋体"/>
          <w:bCs/>
          <w:color w:val="000000"/>
          <w:sz w:val="24"/>
        </w:rPr>
      </w:pPr>
      <w:r/>
      <w:bookmarkStart w:id="10" w:name="_Toc28359003"/>
      <w:r>
        <w:rPr>
          <w:rFonts w:hint="eastAsia" w:ascii="宋体" w:hAnsi="宋体" w:cs="宋体"/>
          <w:bCs/>
          <w:color w:val="000000"/>
          <w:sz w:val="24"/>
        </w:rPr>
        <w:t xml:space="preserve">1、满足《中华人民共和国政府采购法》第二十二条规定；</w:t>
      </w:r>
      <w:bookmarkEnd w:id="10"/>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w:t>
      </w:r>
      <w:bookmarkStart w:id="11" w:name="OLE_LINK14"/>
      <w:r>
        <w:rPr>
          <w:rFonts w:hint="eastAsia" w:ascii="宋体" w:hAnsi="宋体" w:cs="宋体"/>
          <w:bCs/>
          <w:color w:val="000000"/>
          <w:sz w:val="24"/>
        </w:rPr>
        <w:t xml:space="preserve">具有独立承担民事责任的能力</w:t>
      </w:r>
      <w:bookmarkEnd w:id="11"/>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1.2</w:t>
      </w:r>
      <w:bookmarkStart w:id="12" w:name="OLE_LINK15"/>
      <w:r>
        <w:rPr>
          <w:rFonts w:hint="eastAsia" w:ascii="宋体" w:hAnsi="宋体" w:cs="宋体"/>
          <w:bCs/>
          <w:color w:val="000000"/>
          <w:sz w:val="24"/>
        </w:rPr>
        <w:t xml:space="preserve">具有良好的商业信誉和健全的财务会计制度</w:t>
      </w:r>
      <w:bookmarkEnd w:id="12"/>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1.3具有履行合同所必须的设备和专业技术能力；</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1.4</w:t>
      </w:r>
      <w:bookmarkStart w:id="13" w:name="OLE_LINK16"/>
      <w:r>
        <w:rPr>
          <w:rFonts w:hint="eastAsia" w:ascii="宋体" w:hAnsi="宋体" w:cs="宋体"/>
          <w:bCs/>
          <w:color w:val="000000"/>
          <w:sz w:val="24"/>
        </w:rPr>
        <w:t xml:space="preserve">有依法缴纳税收和社会保障资金的良好记录</w:t>
      </w:r>
      <w:bookmarkEnd w:id="13"/>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1.5</w:t>
      </w:r>
      <w:bookmarkStart w:id="14" w:name="OLE_LINK19"/>
      <w:r>
        <w:rPr>
          <w:rFonts w:hint="eastAsia" w:ascii="宋体" w:hAnsi="宋体" w:cs="宋体"/>
          <w:bCs/>
          <w:color w:val="000000"/>
          <w:sz w:val="24"/>
        </w:rPr>
        <w:t xml:space="preserve">参加</w:t>
      </w:r>
      <w:r>
        <w:rPr>
          <w:rFonts w:hint="eastAsia" w:ascii="宋体" w:hAnsi="宋体" w:cs="宋体"/>
          <w:bCs/>
          <w:color w:val="000000"/>
          <w:sz w:val="24"/>
        </w:rPr>
        <w:t xml:space="preserve">政府</w:t>
      </w:r>
      <w:r>
        <w:rPr>
          <w:rFonts w:hint="eastAsia" w:ascii="宋体" w:hAnsi="宋体" w:cs="宋体"/>
          <w:bCs/>
          <w:color w:val="000000"/>
          <w:sz w:val="24"/>
        </w:rPr>
        <w:t xml:space="preserve">采购活动前三年内，在经营活动中没有重大违法记录</w:t>
      </w:r>
      <w:bookmarkEnd w:id="14"/>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1.6</w:t>
      </w:r>
      <w:bookmarkStart w:id="15" w:name="OLE_LINK17"/>
      <w:r>
        <w:rPr>
          <w:rFonts w:hint="eastAsia" w:ascii="宋体" w:hAnsi="宋体" w:cs="宋体"/>
          <w:bCs/>
          <w:color w:val="000000"/>
          <w:sz w:val="24"/>
        </w:rPr>
        <w:t xml:space="preserve">法律、行政法规规定的其他条件</w:t>
      </w:r>
      <w:bookmarkEnd w:id="15"/>
      <w:r>
        <w:rPr>
          <w:rFonts w:hint="eastAsia" w:ascii="宋体" w:hAnsi="宋体" w:cs="宋体"/>
          <w:bCs/>
          <w:color w:val="000000"/>
          <w:sz w:val="24"/>
        </w:rPr>
        <w:t xml:space="preserve">。</w:t>
      </w:r>
      <w:r/>
    </w:p>
    <w:p>
      <w:pPr>
        <w:ind w:firstLine="480"/>
        <w:spacing w:line="360" w:lineRule="auto"/>
        <w:shd w:val="clear" w:color="auto" w:fill="ffffff"/>
        <w:rPr>
          <w:rFonts w:hint="eastAsia" w:ascii="宋体" w:hAnsi="宋体"/>
          <w:bCs/>
          <w:sz w:val="24"/>
        </w:rPr>
      </w:pPr>
      <w:r>
        <w:rPr>
          <w:rFonts w:hint="eastAsia" w:ascii="宋体" w:hAnsi="宋体" w:cs="宋体"/>
          <w:bCs/>
          <w:color w:val="000000"/>
          <w:sz w:val="24"/>
        </w:rPr>
        <w:t xml:space="preserve">2、</w:t>
      </w:r>
      <w:r>
        <w:rPr>
          <w:rFonts w:hint="eastAsia" w:ascii="宋体" w:hAnsi="宋体"/>
          <w:bCs/>
          <w:sz w:val="24"/>
        </w:rPr>
        <w:t xml:space="preserve">落实政府采购政策需满足的资格要求：</w:t>
      </w:r>
      <w:bookmarkStart w:id="16" w:name="_Hlk211351920"/>
      <w:r/>
      <w:bookmarkStart w:id="17" w:name="OLE_LINK11"/>
      <w:r>
        <w:rPr>
          <w:rFonts w:hint="eastAsia" w:ascii="宋体" w:hAnsi="宋体"/>
          <w:bCs/>
          <w:sz w:val="24"/>
        </w:rPr>
        <w:t xml:space="preserve">本项目为非专门面向中小企业采购项目</w:t>
      </w:r>
      <w:bookmarkEnd w:id="16"/>
      <w:r>
        <w:rPr>
          <w:rFonts w:hint="eastAsia" w:ascii="宋体" w:hAnsi="宋体"/>
          <w:bCs/>
          <w:sz w:val="24"/>
        </w:rPr>
        <w:t xml:space="preserve">。所属行业为</w:t>
      </w:r>
      <w:bookmarkStart w:id="18" w:name="OLE_LINK7"/>
      <w:r>
        <w:rPr>
          <w:rFonts w:hint="eastAsia" w:ascii="宋体" w:hAnsi="宋体"/>
          <w:bCs/>
          <w:sz w:val="24"/>
        </w:rPr>
        <w:t xml:space="preserve">：其他未列明行业</w:t>
      </w:r>
      <w:bookmarkEnd w:id="18"/>
      <w:r>
        <w:rPr>
          <w:rFonts w:hint="eastAsia" w:ascii="宋体" w:hAnsi="宋体"/>
          <w:bCs/>
          <w:sz w:val="24"/>
        </w:rPr>
        <w:t xml:space="preserve">。</w:t>
      </w:r>
      <w:bookmarkEnd w:id="17"/>
      <w:r/>
      <w:r/>
    </w:p>
    <w:p>
      <w:pPr>
        <w:ind w:firstLine="480"/>
        <w:spacing w:line="360" w:lineRule="auto"/>
        <w:shd w:val="clear" w:color="auto" w:fill="ffffff"/>
        <w:rPr>
          <w:rFonts w:hint="eastAsia" w:ascii="宋体" w:hAnsi="宋体" w:cs="宋体"/>
          <w:bCs/>
          <w:color w:val="000000"/>
          <w:sz w:val="24"/>
        </w:rPr>
      </w:pPr>
      <w:r>
        <w:rPr>
          <w:rFonts w:hint="eastAsia" w:ascii="宋体" w:hAnsi="宋体" w:cs="宋体"/>
          <w:bCs/>
          <w:color w:val="000000"/>
          <w:sz w:val="24"/>
        </w:rPr>
        <w:t xml:space="preserve">3、本项目的特定资格要求： </w:t>
      </w:r>
      <w:r/>
    </w:p>
    <w:p>
      <w:pPr>
        <w:ind w:firstLine="422"/>
        <w:spacing w:line="420" w:lineRule="exact"/>
        <w:rPr>
          <w:rFonts w:hint="eastAsia" w:ascii="宋体" w:hAnsi="宋体" w:cs="宋体"/>
          <w:bCs/>
          <w:color w:val="000000"/>
          <w:sz w:val="24"/>
        </w:rPr>
      </w:pPr>
      <w:r/>
      <w:bookmarkStart w:id="19" w:name="OLE_LINK47"/>
      <w:r/>
      <w:bookmarkStart w:id="20" w:name="_Hlk211351950"/>
      <w:r>
        <w:rPr>
          <w:rFonts w:hint="eastAsia" w:ascii="宋体" w:hAnsi="宋体" w:cs="宋体"/>
          <w:bCs/>
          <w:color w:val="000000"/>
          <w:sz w:val="24"/>
        </w:rPr>
        <w:t xml:space="preserve">3.1</w:t>
      </w:r>
      <w:bookmarkStart w:id="21" w:name="OLE_LINK21"/>
      <w:r>
        <w:rPr>
          <w:rFonts w:hint="eastAsia" w:ascii="宋体" w:hAnsi="宋体" w:cs="宋体"/>
          <w:bCs/>
          <w:color w:val="000000"/>
          <w:sz w:val="24"/>
        </w:rPr>
        <w:t xml:space="preserve">本项目投标供应商须具备市政公用工程施工总承包三级（含）以上资质。</w:t>
      </w:r>
      <w:r/>
    </w:p>
    <w:p>
      <w:pPr>
        <w:ind w:firstLine="480"/>
        <w:spacing w:line="360" w:lineRule="auto"/>
        <w:shd w:val="clear" w:color="auto" w:fill="ffffff"/>
        <w:rPr>
          <w:rFonts w:hint="eastAsia" w:ascii="宋体" w:hAnsi="宋体" w:cs="宋体"/>
          <w:bCs/>
          <w:color w:val="000000"/>
          <w:sz w:val="24"/>
        </w:rPr>
      </w:pPr>
      <w:r>
        <w:rPr>
          <w:rFonts w:hint="eastAsia" w:ascii="宋体" w:hAnsi="宋体" w:cs="宋体"/>
          <w:bCs/>
          <w:color w:val="000000"/>
          <w:sz w:val="24"/>
        </w:rPr>
        <w:t xml:space="preserve">4、其他要求：</w:t>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4.1</w:t>
      </w:r>
      <w:r>
        <w:rPr>
          <w:rFonts w:hint="eastAsia" w:ascii="宋体" w:hAnsi="宋体"/>
          <w:bCs/>
          <w:sz w:val="24"/>
        </w:rPr>
        <w:t xml:space="preserve">未被“信用中国”网站或“中国政府采购网”网站列入失信被执行人、重大税收违法案件当事人名单、政府采购严重失信行为记录名单；</w:t>
      </w:r>
      <w:bookmarkEnd w:id="21"/>
      <w:r>
        <w:rPr>
          <w:rFonts w:hint="eastAsia" w:ascii="宋体" w:hAnsi="宋体"/>
          <w:bCs/>
          <w:sz w:val="24"/>
        </w:rPr>
        <w:t xml:space="preserve"> </w:t>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4</w:t>
      </w:r>
      <w:r>
        <w:rPr>
          <w:rFonts w:hint="eastAsia" w:ascii="宋体" w:hAnsi="宋体"/>
          <w:bCs/>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bookmarkEnd w:id="19"/>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4.3为采购项目提供整体设计、规范编制或者项目管理、监理、检测等服务的供应商，不得再参加该采购项目的其他采购活动。</w:t>
      </w:r>
      <w:bookmarkEnd w:id="20"/>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四、本项目不接受联合体投标。</w:t>
      </w:r>
      <w:r/>
    </w:p>
    <w:p>
      <w:pPr>
        <w:ind w:firstLine="480"/>
        <w:spacing w:line="360" w:lineRule="auto"/>
        <w:rPr>
          <w:rFonts w:hint="eastAsia" w:ascii="宋体" w:hAnsi="宋体"/>
          <w:bCs/>
          <w:sz w:val="24"/>
        </w:rPr>
      </w:pPr>
      <w:r>
        <w:rPr>
          <w:rFonts w:hint="eastAsia" w:ascii="宋体" w:hAnsi="宋体"/>
          <w:bCs/>
          <w:sz w:val="24"/>
        </w:rPr>
        <w:t xml:space="preserve">五、获取招标文件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时间：</w:t>
      </w:r>
      <w:bookmarkStart w:id="22" w:name="OLE_LINK1"/>
      <w:r>
        <w:rPr>
          <w:rFonts w:hint="eastAsia" w:ascii="宋体" w:hAnsi="宋体" w:cs="宋体"/>
          <w:bCs/>
          <w:color w:val="000000"/>
          <w:sz w:val="24"/>
        </w:rPr>
        <w:t xml:space="preserve">自本公告发布之</w:t>
      </w:r>
      <w:r>
        <w:rPr>
          <w:rFonts w:hint="eastAsia" w:ascii="宋体" w:hAnsi="宋体" w:cs="宋体"/>
          <w:bCs/>
          <w:color w:val="000000"/>
          <w:sz w:val="24"/>
        </w:rPr>
        <w:t xml:space="preserve">次</w:t>
      </w:r>
      <w:r>
        <w:rPr>
          <w:rFonts w:hint="eastAsia" w:ascii="宋体" w:hAnsi="宋体" w:cs="宋体"/>
          <w:bCs/>
          <w:color w:val="000000"/>
          <w:sz w:val="24"/>
        </w:rPr>
        <w:t xml:space="preserve">日起五个工作日。</w:t>
      </w:r>
      <w:bookmarkEnd w:id="22"/>
      <w:r/>
      <w:r/>
    </w:p>
    <w:p>
      <w:pPr>
        <w:ind w:firstLine="480"/>
        <w:spacing w:line="360" w:lineRule="auto"/>
        <w:shd w:val="clear" w:color="auto" w:fill="ffffff"/>
        <w:rPr>
          <w:rFonts w:hint="eastAsia" w:ascii="宋体" w:hAnsi="宋体" w:cs="宋体"/>
          <w:bCs/>
          <w:color w:val="000000"/>
          <w:sz w:val="24"/>
        </w:rPr>
      </w:pPr>
      <w:r>
        <w:rPr>
          <w:rFonts w:hint="eastAsia" w:ascii="宋体" w:hAnsi="宋体" w:cs="宋体"/>
          <w:bCs/>
          <w:color w:val="000000"/>
          <w:sz w:val="24"/>
        </w:rPr>
        <w:t xml:space="preserve">2、地点：苏采云。</w:t>
      </w:r>
      <w:r/>
    </w:p>
    <w:p>
      <w:pPr>
        <w:ind w:firstLine="480"/>
        <w:spacing w:line="360" w:lineRule="auto"/>
        <w:shd w:val="clear" w:color="auto" w:fill="ffffff"/>
        <w:rPr>
          <w:rFonts w:hint="eastAsia" w:ascii="宋体" w:hAnsi="宋体" w:cs="宋体"/>
          <w:bCs/>
          <w:color w:val="000000"/>
          <w:sz w:val="24"/>
        </w:rPr>
      </w:pPr>
      <w:r>
        <w:rPr>
          <w:rFonts w:hint="eastAsia" w:ascii="宋体" w:hAnsi="宋体" w:cs="宋体"/>
          <w:bCs/>
          <w:color w:val="000000"/>
          <w:sz w:val="24"/>
        </w:rPr>
        <w:t xml:space="preserve">3、方式：苏采云。</w:t>
      </w:r>
      <w:r/>
    </w:p>
    <w:p>
      <w:pPr>
        <w:ind w:firstLine="480"/>
        <w:spacing w:line="360" w:lineRule="auto"/>
        <w:shd w:val="clear" w:color="auto" w:fill="ffffff"/>
        <w:rPr>
          <w:rFonts w:hint="eastAsia" w:ascii="宋体" w:hAnsi="宋体" w:cs="宋体"/>
          <w:bCs/>
          <w:color w:val="000000"/>
          <w:sz w:val="24"/>
        </w:rPr>
      </w:pPr>
      <w:r>
        <w:rPr>
          <w:rFonts w:hint="eastAsia" w:ascii="宋体" w:hAnsi="宋体" w:cs="宋体"/>
          <w:bCs/>
          <w:color w:val="000000"/>
          <w:sz w:val="24"/>
        </w:rPr>
        <w:t xml:space="preserve">4、售价：0.00元</w:t>
      </w:r>
      <w:r/>
    </w:p>
    <w:p>
      <w:pPr>
        <w:ind w:firstLine="480"/>
        <w:spacing w:line="360" w:lineRule="auto"/>
        <w:shd w:val="clear" w:color="auto" w:fill="ffffff"/>
        <w:rPr>
          <w:rFonts w:hint="eastAsia" w:ascii="宋体" w:hAnsi="宋体" w:cs="宋体"/>
          <w:bCs/>
          <w:color w:val="000000"/>
          <w:sz w:val="24"/>
        </w:rPr>
      </w:pPr>
      <w:r>
        <w:rPr>
          <w:rFonts w:hint="eastAsia" w:ascii="宋体" w:hAnsi="宋体" w:cs="宋体"/>
          <w:bCs/>
          <w:color w:val="000000"/>
          <w:sz w:val="24"/>
        </w:rPr>
        <w:t xml:space="preserve">六、提交（上传）投标文件：</w:t>
      </w:r>
      <w:r/>
    </w:p>
    <w:p>
      <w:pPr>
        <w:ind w:firstLine="420"/>
        <w:spacing w:line="360" w:lineRule="auto"/>
        <w:shd w:val="clear" w:color="auto" w:fill="ffffff"/>
        <w:rPr>
          <w:rFonts w:hint="eastAsia" w:ascii="宋体" w:hAnsi="宋体" w:cs="宋体"/>
          <w:bCs/>
          <w:color w:val="000000"/>
          <w:sz w:val="24"/>
        </w:rPr>
      </w:pPr>
      <w:r>
        <w:rPr>
          <w:rFonts w:hint="eastAsia" w:ascii="宋体" w:hAnsi="宋体" w:cs="宋体"/>
          <w:bCs/>
          <w:color w:val="000000"/>
          <w:sz w:val="24"/>
        </w:rPr>
        <w:t xml:space="preserve">截止时间：2025年</w:t>
      </w:r>
      <w:r>
        <w:rPr>
          <w:rFonts w:hint="eastAsia" w:ascii="宋体" w:hAnsi="宋体" w:cs="宋体"/>
          <w:bCs/>
          <w:color w:val="000000"/>
          <w:sz w:val="24"/>
        </w:rPr>
        <w:t xml:space="preserve">1</w:t>
      </w:r>
      <w:r>
        <w:rPr>
          <w:rFonts w:hint="eastAsia" w:ascii="宋体" w:hAnsi="宋体" w:cs="宋体"/>
          <w:bCs/>
          <w:color w:val="000000"/>
          <w:sz w:val="24"/>
        </w:rPr>
        <w:t xml:space="preserve">2</w:t>
      </w:r>
      <w:r>
        <w:rPr>
          <w:rFonts w:hint="eastAsia" w:ascii="宋体" w:hAnsi="宋体" w:cs="宋体"/>
          <w:bCs/>
          <w:color w:val="000000"/>
          <w:sz w:val="24"/>
        </w:rPr>
        <w:t xml:space="preserve">月</w:t>
      </w:r>
      <w:r>
        <w:rPr>
          <w:rFonts w:hint="eastAsia" w:ascii="宋体" w:hAnsi="宋体" w:cs="宋体"/>
          <w:bCs/>
          <w:color w:val="000000"/>
          <w:sz w:val="24"/>
        </w:rPr>
        <w:t xml:space="preserve">1</w:t>
      </w:r>
      <w:r>
        <w:rPr>
          <w:rFonts w:hint="eastAsia" w:ascii="宋体" w:hAnsi="宋体" w:cs="宋体"/>
          <w:bCs/>
          <w:color w:val="000000"/>
          <w:sz w:val="24"/>
        </w:rPr>
        <w:t xml:space="preserve">8</w:t>
      </w:r>
      <w:r>
        <w:rPr>
          <w:rFonts w:hint="eastAsia" w:ascii="宋体" w:hAnsi="宋体" w:cs="宋体"/>
          <w:bCs/>
          <w:color w:val="000000"/>
          <w:sz w:val="24"/>
        </w:rPr>
        <w:t xml:space="preserve">日</w:t>
      </w:r>
      <w:r>
        <w:rPr>
          <w:rFonts w:hint="eastAsia" w:ascii="宋体" w:hAnsi="宋体" w:cs="宋体"/>
          <w:bCs/>
          <w:color w:val="000000"/>
          <w:sz w:val="24"/>
        </w:rPr>
        <w:t xml:space="preserve">13</w:t>
      </w:r>
      <w:r>
        <w:rPr>
          <w:rFonts w:hint="eastAsia" w:ascii="宋体" w:hAnsi="宋体" w:cs="宋体"/>
          <w:bCs/>
          <w:color w:val="000000"/>
          <w:sz w:val="24"/>
        </w:rPr>
        <w:t xml:space="preserve">点30分（北京时间）</w:t>
      </w:r>
      <w:r/>
    </w:p>
    <w:p>
      <w:pPr>
        <w:ind w:firstLine="420"/>
        <w:spacing w:line="360" w:lineRule="auto"/>
        <w:shd w:val="clear" w:color="auto" w:fill="ffffff"/>
        <w:rPr>
          <w:rFonts w:hint="eastAsia" w:ascii="宋体" w:hAnsi="宋体" w:cs="宋体"/>
          <w:bCs/>
          <w:color w:val="000000"/>
          <w:sz w:val="24"/>
        </w:rPr>
      </w:pPr>
      <w:r>
        <w:rPr>
          <w:rFonts w:hint="eastAsia" w:ascii="宋体" w:hAnsi="宋体" w:cs="宋体"/>
          <w:bCs/>
          <w:color w:val="000000"/>
          <w:sz w:val="24"/>
        </w:rPr>
        <w:t xml:space="preserve">地点：</w:t>
      </w:r>
      <w:r>
        <w:rPr>
          <w:rFonts w:hint="eastAsia" w:ascii="宋体" w:hAnsi="宋体" w:cs="宋体"/>
          <w:bCs/>
          <w:color w:val="000000"/>
          <w:sz w:val="24"/>
        </w:rPr>
        <w:t xml:space="preserve">苏</w:t>
      </w:r>
      <w:r>
        <w:rPr>
          <w:rFonts w:hint="eastAsia" w:ascii="宋体" w:hAnsi="宋体" w:cs="宋体"/>
          <w:bCs/>
          <w:color w:val="000000"/>
          <w:sz w:val="24"/>
        </w:rPr>
        <w:t xml:space="preserve">采</w:t>
      </w:r>
      <w:r>
        <w:rPr>
          <w:rFonts w:hint="eastAsia" w:ascii="宋体" w:hAnsi="宋体" w:cs="宋体"/>
          <w:bCs/>
          <w:color w:val="000000"/>
          <w:sz w:val="24"/>
        </w:rPr>
        <w:t xml:space="preserve">云</w:t>
      </w:r>
      <w:r>
        <w:rPr>
          <w:rFonts w:ascii="宋体" w:hAnsi="宋体" w:cs="宋体"/>
          <w:bCs/>
          <w:color w:val="000000"/>
          <w:sz w:val="24"/>
        </w:rPr>
      </w:r>
      <w:r/>
    </w:p>
    <w:p>
      <w:pPr>
        <w:ind w:firstLine="420"/>
        <w:spacing w:line="360" w:lineRule="auto"/>
        <w:shd w:val="clear" w:color="auto" w:fill="ffffff"/>
        <w:rPr>
          <w:rFonts w:hint="eastAsia" w:ascii="宋体" w:hAnsi="宋体" w:cs="宋体"/>
          <w:bCs/>
          <w:color w:val="000000"/>
          <w:sz w:val="24"/>
        </w:rPr>
      </w:pPr>
      <w:r>
        <w:rPr>
          <w:rFonts w:hint="eastAsia" w:ascii="宋体" w:hAnsi="宋体" w:cs="宋体"/>
          <w:bCs/>
          <w:color w:val="000000"/>
          <w:sz w:val="24"/>
        </w:rPr>
        <w:t xml:space="preserve">七、公告期限。</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自本公告发布之日起五个工作日。</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八、其他补充事宜。</w:t>
      </w:r>
      <w:r/>
    </w:p>
    <w:p>
      <w:pPr>
        <w:ind w:firstLine="480"/>
        <w:spacing w:line="360" w:lineRule="auto"/>
        <w:rPr>
          <w:rFonts w:hint="eastAsia" w:ascii="宋体" w:hAnsi="宋体" w:cs="宋体"/>
          <w:bCs/>
          <w:color w:val="000000"/>
          <w:sz w:val="24"/>
        </w:rPr>
      </w:pPr>
      <w:r/>
      <w:bookmarkStart w:id="23" w:name="OLE_LINK48"/>
      <w:r/>
      <w:bookmarkStart w:id="24" w:name="_Toc28359008"/>
      <w:r>
        <w:rPr>
          <w:rFonts w:hint="eastAsia" w:ascii="宋体" w:hAnsi="宋体" w:cs="宋体"/>
          <w:bCs/>
          <w:color w:val="000000"/>
          <w:sz w:val="24"/>
        </w:rPr>
        <w:t xml:space="preserve">1、本次招标的有关信息将在苏州市政府采购网、江苏省政府采购网、中国政府采购网上发布；</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3、不同供应商投标文件的制作机器码一致，均视为无效响应。</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4、苏州市政府采购管理监督电话：0512-</w:t>
      </w:r>
      <w:r>
        <w:rPr>
          <w:rFonts w:hint="eastAsia" w:ascii="宋体" w:hAnsi="宋体" w:cs="宋体"/>
          <w:bCs/>
          <w:color w:val="000000"/>
          <w:sz w:val="24"/>
        </w:rPr>
        <w:t xml:space="preserve">-6</w:t>
      </w:r>
      <w:r>
        <w:rPr>
          <w:rFonts w:hint="eastAsia" w:ascii="宋体" w:hAnsi="宋体" w:cs="宋体"/>
          <w:bCs/>
          <w:color w:val="000000"/>
          <w:sz w:val="24"/>
        </w:rPr>
        <w:t xml:space="preserve">8</w:t>
      </w:r>
      <w:r>
        <w:rPr>
          <w:rFonts w:hint="eastAsia" w:ascii="宋体" w:hAnsi="宋体" w:cs="宋体"/>
          <w:bCs/>
          <w:color w:val="000000"/>
          <w:sz w:val="24"/>
        </w:rPr>
        <w:t xml:space="preserve">7</w:t>
      </w:r>
      <w:r>
        <w:rPr>
          <w:rFonts w:hint="eastAsia" w:ascii="宋体" w:hAnsi="宋体" w:cs="宋体"/>
          <w:bCs/>
          <w:color w:val="000000"/>
          <w:sz w:val="24"/>
        </w:rPr>
        <w:t xml:space="preserve">28409</w:t>
      </w:r>
      <w:r>
        <w:rPr>
          <w:rFonts w:hint="eastAsia" w:ascii="宋体" w:hAnsi="宋体" w:cs="宋体"/>
          <w:bCs/>
          <w:color w:val="000000"/>
          <w:sz w:val="24"/>
        </w:rPr>
        <w:t xml:space="preserve">。</w:t>
      </w:r>
      <w:bookmarkEnd w:id="23"/>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九、对本次招标提出询问，请按以下方式联系。</w:t>
      </w:r>
      <w:bookmarkEnd w:id="24"/>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1、招标人信息：</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名    称：</w:t>
      </w:r>
      <w:bookmarkStart w:id="25" w:name="_Hlk211350820"/>
      <w:r>
        <w:rPr>
          <w:rFonts w:hint="eastAsia" w:ascii="宋体" w:hAnsi="宋体" w:cs="宋体"/>
          <w:bCs/>
          <w:color w:val="000000"/>
          <w:sz w:val="24"/>
        </w:rPr>
        <w:t xml:space="preserve">苏州市市政设施管理处</w:t>
      </w:r>
      <w:bookmarkEnd w:id="25"/>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地    址：</w:t>
      </w:r>
      <w:r>
        <w:rPr>
          <w:rFonts w:ascii="宋体" w:hAnsi="宋体" w:cs="宋体"/>
          <w:bCs/>
          <w:color w:val="000000"/>
          <w:sz w:val="24"/>
        </w:rPr>
        <w:t xml:space="preserve">苏州市姑苏区友新路965号南区2号楼</w:t>
      </w:r>
      <w:r/>
    </w:p>
    <w:p>
      <w:pPr>
        <w:ind w:firstLine="480"/>
        <w:spacing w:line="360" w:lineRule="auto"/>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联系方式 ：</w:t>
      </w:r>
      <w:r>
        <w:rPr>
          <w:rFonts w:hint="eastAsia" w:ascii="宋体" w:hAnsi="宋体" w:cs="宋体"/>
          <w:color w:val="333333"/>
          <w:sz w:val="24"/>
          <w:shd w:val="clear" w:color="auto" w:fill="ffffff"/>
        </w:rPr>
        <w:t xml:space="preserve">0512-</w:t>
      </w:r>
      <w:bookmarkStart w:id="26" w:name="OLE_LINK8"/>
      <w:r>
        <w:rPr>
          <w:rFonts w:hint="eastAsia" w:ascii="宋体" w:hAnsi="宋体" w:cs="宋体"/>
          <w:color w:val="333333"/>
          <w:sz w:val="24"/>
          <w:shd w:val="clear" w:color="auto" w:fill="ffffff"/>
        </w:rPr>
        <w:t xml:space="preserve">65222759</w:t>
      </w:r>
      <w:bookmarkEnd w:id="26"/>
      <w:r>
        <w:rPr>
          <w:rFonts w:hint="eastAsia" w:ascii="宋体" w:hAnsi="宋体" w:cs="宋体"/>
          <w:color w:val="333333"/>
          <w:sz w:val="24"/>
          <w:shd w:val="clear" w:color="auto" w:fill="ffffff"/>
        </w:rPr>
        <w:t xml:space="preserve">     联系人：</w:t>
      </w:r>
      <w:r>
        <w:rPr>
          <w:rFonts w:hint="eastAsia" w:ascii="宋体" w:hAnsi="宋体" w:cs="宋体"/>
          <w:color w:val="333333"/>
          <w:sz w:val="24"/>
          <w:shd w:val="clear" w:color="auto" w:fill="ffffff"/>
        </w:rPr>
        <w:t xml:space="preserve">焦方晶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2、采购代理机构信息：</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名    称：苏州铖溢林建设工程管理有限公司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地    址：</w:t>
      </w:r>
      <w:bookmarkStart w:id="27" w:name="OLE_LINK13"/>
      <w:r/>
      <w:bookmarkStart w:id="28" w:name="_Hlk209597623"/>
      <w:r>
        <w:rPr>
          <w:rFonts w:hint="eastAsia" w:ascii="宋体" w:hAnsi="宋体" w:cs="宋体"/>
          <w:bCs/>
          <w:color w:val="000000"/>
          <w:sz w:val="24"/>
        </w:rPr>
        <w:t xml:space="preserve">苏州市</w:t>
      </w:r>
      <w:bookmarkEnd w:id="27"/>
      <w:r>
        <w:rPr>
          <w:rFonts w:hint="eastAsia" w:ascii="宋体" w:hAnsi="宋体" w:cs="宋体"/>
          <w:bCs/>
          <w:color w:val="000000"/>
          <w:sz w:val="24"/>
        </w:rPr>
        <w:t xml:space="preserve">东太湖路66号2号楼207室</w:t>
      </w:r>
      <w:bookmarkEnd w:id="28"/>
      <w:r>
        <w:rPr>
          <w:rFonts w:hint="eastAsia" w:ascii="宋体" w:hAnsi="宋体" w:cs="宋体"/>
          <w:bCs/>
          <w:color w:val="000000"/>
          <w:sz w:val="24"/>
        </w:rPr>
        <w:t xml:space="preserve">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联系方式：</w:t>
      </w:r>
      <w:bookmarkStart w:id="29" w:name="OLE_LINK12"/>
      <w:r>
        <w:rPr>
          <w:rFonts w:hint="eastAsia" w:ascii="宋体" w:hAnsi="宋体" w:cs="宋体"/>
          <w:bCs/>
          <w:color w:val="000000"/>
          <w:sz w:val="24"/>
        </w:rPr>
        <w:t xml:space="preserve">18913597056</w:t>
      </w:r>
      <w:bookmarkEnd w:id="29"/>
      <w:r>
        <w:rPr>
          <w:rFonts w:hint="eastAsia" w:ascii="宋体" w:hAnsi="宋体" w:cs="宋体"/>
          <w:bCs/>
          <w:color w:val="000000"/>
          <w:sz w:val="24"/>
        </w:rPr>
        <w:t xml:space="preserve">   联系人：刘艳</w:t>
      </w:r>
      <w:r>
        <w:rPr>
          <w:rFonts w:hint="eastAsia" w:ascii="宋体" w:hAnsi="宋体" w:cs="宋体"/>
          <w:bCs/>
          <w:color w:val="000000"/>
          <w:sz w:val="24"/>
        </w:rPr>
        <w:t xml:space="preserve">  </w:t>
      </w:r>
      <w:r>
        <w:rPr>
          <w:rFonts w:hint="eastAsia" w:ascii="宋体" w:hAnsi="宋体" w:cs="宋体"/>
          <w:bCs/>
          <w:color w:val="000000"/>
          <w:sz w:val="24"/>
        </w:rPr>
        <w:t xml:space="preserve">黄艳</w:t>
      </w:r>
      <w:r>
        <w:rPr>
          <w:rFonts w:hint="eastAsia" w:ascii="宋体" w:hAnsi="宋体" w:cs="宋体"/>
          <w:bCs/>
          <w:color w:val="000000"/>
          <w:sz w:val="24"/>
        </w:rPr>
        <w:t xml:space="preserve"> </w:t>
      </w:r>
      <w:r>
        <w:rPr>
          <w:rFonts w:hint="eastAsia" w:ascii="宋体" w:hAnsi="宋体" w:cs="宋体"/>
          <w:bCs/>
          <w:color w:val="000000"/>
          <w:sz w:val="24"/>
        </w:rPr>
        <w:t xml:space="preserve">陈有利</w:t>
      </w:r>
      <w:r>
        <w:rPr>
          <w:rFonts w:hint="eastAsia" w:ascii="宋体" w:hAnsi="宋体" w:cs="宋体"/>
          <w:bCs/>
          <w:color w:val="000000"/>
          <w:sz w:val="24"/>
        </w:rPr>
        <w:t xml:space="preserve"> 金华来</w:t>
      </w:r>
      <w:r>
        <w:rPr>
          <w:rFonts w:hint="eastAsia" w:ascii="宋体" w:hAnsi="宋体" w:cs="宋体"/>
          <w:bCs/>
          <w:color w:val="000000"/>
          <w:sz w:val="24"/>
        </w:rPr>
        <w:t xml:space="preserve"> </w:t>
      </w:r>
      <w:r>
        <w:rPr>
          <w:rFonts w:hint="eastAsia" w:ascii="宋体" w:hAnsi="宋体" w:cs="宋体"/>
          <w:bCs/>
          <w:color w:val="000000"/>
          <w:sz w:val="24"/>
        </w:rPr>
        <w:t xml:space="preserve">吴鑫斌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3、项目联系方式：</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项目联系人：</w:t>
      </w:r>
      <w:r>
        <w:rPr>
          <w:rFonts w:hint="eastAsia" w:ascii="宋体" w:hAnsi="宋体" w:cs="宋体"/>
          <w:bCs/>
          <w:color w:val="000000"/>
          <w:sz w:val="24"/>
        </w:rPr>
        <w:t xml:space="preserve">刘艳</w:t>
      </w:r>
      <w:r>
        <w:rPr>
          <w:rFonts w:hint="eastAsia" w:ascii="宋体" w:hAnsi="宋体" w:cs="宋体"/>
          <w:bCs/>
          <w:color w:val="000000"/>
          <w:sz w:val="24"/>
        </w:rPr>
        <w:t xml:space="preserve"> </w:t>
      </w:r>
      <w:r>
        <w:rPr>
          <w:rFonts w:hint="eastAsia" w:ascii="宋体" w:hAnsi="宋体" w:cs="宋体"/>
          <w:bCs/>
          <w:color w:val="000000"/>
          <w:sz w:val="24"/>
        </w:rPr>
        <w:t xml:space="preserve">陈有利</w:t>
      </w:r>
      <w:r>
        <w:rPr>
          <w:rFonts w:hint="eastAsia" w:ascii="宋体" w:hAnsi="宋体" w:cs="宋体"/>
          <w:bCs/>
          <w:color w:val="000000"/>
          <w:sz w:val="24"/>
        </w:rPr>
        <w:t xml:space="preserve">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电话：</w:t>
      </w:r>
      <w:r>
        <w:rPr>
          <w:rFonts w:hint="eastAsia" w:ascii="宋体" w:hAnsi="宋体" w:cs="宋体"/>
          <w:bCs/>
          <w:color w:val="000000"/>
          <w:sz w:val="24"/>
        </w:rPr>
        <w:t xml:space="preserve">18913597056 </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br w:type="page" w:clear="all"/>
      </w:r>
      <w:r>
        <w:rPr>
          <w:rFonts w:hint="eastAsia" w:ascii="宋体" w:hAnsi="宋体" w:cs="宋体"/>
          <w:bCs/>
          <w:color w:val="000000"/>
          <w:sz w:val="24"/>
        </w:rPr>
        <w:t xml:space="preserve">第二章 投标人须知</w:t>
      </w:r>
      <w:r/>
    </w:p>
    <w:p>
      <w:pPr>
        <w:pStyle w:val="923"/>
        <w:ind w:firstLine="422"/>
        <w:spacing w:line="360" w:lineRule="auto"/>
        <w:rPr>
          <w:rFonts w:hint="eastAsia" w:ascii="宋体" w:hAnsi="宋体" w:eastAsia="宋体" w:cs="宋体"/>
          <w:bCs/>
          <w:color w:val="000000"/>
          <w:szCs w:val="24"/>
        </w:rPr>
      </w:pPr>
      <w:r/>
      <w:bookmarkStart w:id="30" w:name="_Toc20132"/>
      <w:r/>
      <w:bookmarkStart w:id="31" w:name="_Toc13437"/>
      <w:r>
        <w:rPr>
          <w:rFonts w:hint="eastAsia" w:ascii="宋体" w:hAnsi="宋体" w:eastAsia="宋体" w:cs="宋体"/>
          <w:bCs/>
          <w:color w:val="000000"/>
          <w:szCs w:val="24"/>
        </w:rPr>
        <w:t xml:space="preserve">一、说明和释义</w:t>
      </w:r>
      <w:bookmarkEnd w:id="30"/>
      <w:r/>
      <w:bookmarkEnd w:id="31"/>
      <w:r/>
      <w:r/>
    </w:p>
    <w:p>
      <w:pPr>
        <w:pStyle w:val="923"/>
        <w:ind w:firstLine="422"/>
        <w:spacing w:line="360" w:lineRule="auto"/>
        <w:rPr>
          <w:rFonts w:hint="eastAsia" w:ascii="宋体" w:hAnsi="宋体" w:eastAsia="宋体" w:cs="宋体"/>
          <w:bCs/>
          <w:color w:val="000000"/>
          <w:szCs w:val="24"/>
        </w:rPr>
      </w:pPr>
      <w:r/>
      <w:bookmarkStart w:id="32" w:name="_Toc9408"/>
      <w:r>
        <w:rPr>
          <w:rFonts w:hint="eastAsia" w:ascii="宋体" w:hAnsi="宋体" w:eastAsia="宋体" w:cs="宋体"/>
          <w:bCs/>
          <w:color w:val="000000"/>
          <w:szCs w:val="24"/>
        </w:rPr>
        <w:t xml:space="preserve">1.说明</w:t>
      </w:r>
      <w:bookmarkEnd w:id="32"/>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1.1本招标文件仅适用苏州铖溢林建设工程管理有限公司组织的招标活动。</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1.2本次招标活动及因本次招标产生的合同受中国法律制约和保护。</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1.3本招标文件的解释权属苏州铖溢林建设工程管理有限公司。</w:t>
      </w:r>
      <w:r/>
    </w:p>
    <w:p>
      <w:pPr>
        <w:pStyle w:val="923"/>
        <w:ind w:firstLine="422"/>
        <w:spacing w:line="360" w:lineRule="auto"/>
        <w:rPr>
          <w:rFonts w:hint="eastAsia" w:ascii="宋体" w:hAnsi="宋体" w:eastAsia="宋体" w:cs="宋体"/>
          <w:bCs/>
          <w:color w:val="000000"/>
          <w:szCs w:val="24"/>
        </w:rPr>
      </w:pPr>
      <w:r/>
      <w:bookmarkStart w:id="33" w:name="_Toc27555"/>
      <w:r>
        <w:rPr>
          <w:rFonts w:hint="eastAsia" w:ascii="宋体" w:hAnsi="宋体" w:eastAsia="宋体" w:cs="宋体"/>
          <w:bCs/>
          <w:color w:val="000000"/>
          <w:szCs w:val="24"/>
        </w:rPr>
        <w:t xml:space="preserve">2.词语释义</w:t>
      </w:r>
      <w:bookmarkEnd w:id="33"/>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2.1采购人：指依法进行政府采购的国家机关、事业单位、团体组织。</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2.2采购代理机构：指依法接受采购人委托，从事货物、工程和服务等政府采购业务的采购代理机构。本项目采购代理机构是苏州铖溢林建设工程管理有限公司。</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2.3 投标人：指投标招标、参加投标竞争的法人、其他组织或自然人。</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2.4 招标采购单位：采购人及采购代理机构的统称。</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2.5 投标：投标人根据采购人或采购代理机构发布的招标文件，编制投标文件并按规定投标的行为。</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2.6合同：采供双方根据招标文件和中标的投标文件及中标通知书规定的内容签署的以书面形式所达成的协议，包括所有的附件、附录和构成协议的所有文件。</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2.7甲方（采购人）：指招标文件中载明的，依法进行政府采购的国家机关、事业单位、团体组织。</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2.8乙方（供应商）：合同中规定的向采购人提供货物和服务的法人或其他组织和自然人。</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2.9天：日历日。</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2.10时间：除特别说明，均指北京时间。</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2.11知识产权：指专利权、商标权、著作权等无形财产专有权的统称。</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2.12交货地点：合同中明确约定的乙方提交的货物和服务最终到达地点。</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2.13合同价款：根据合同规定,乙方在正确地履行合同义务后甲方应支付乙方的价款。</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2.14服务：系指本次招标文件规定乙方应承担的与提供货物和服务有关的辅助服务，比如运输、保险、安装、调试、提供技术援助、培训、配合措施、维修投标及合同中规定乙方应承担的其它义务。</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2.15不可抗力：不能预见、不能避免并且不能克服的客观情况。</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2.16实质性投标：满足有关本次采购标的、数量、质量、价款或者报酬、履行期限、履行地点和方式、违约责任和解决争议方法等要求。</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2.17书面形式：指书面文字、合同书、信件和传真等可以有形地表现所载内容的形式。</w:t>
      </w:r>
      <w:bookmarkStart w:id="34" w:name="_Toc14976"/>
      <w:r/>
      <w:bookmarkStart w:id="35" w:name="_Toc13350"/>
      <w:r/>
      <w:r/>
    </w:p>
    <w:p>
      <w:pPr>
        <w:pStyle w:val="923"/>
        <w:ind w:firstLine="422"/>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二、投标人</w:t>
      </w:r>
      <w:bookmarkEnd w:id="34"/>
      <w:r/>
      <w:bookmarkEnd w:id="35"/>
      <w:r/>
      <w:r/>
    </w:p>
    <w:p>
      <w:pPr>
        <w:pStyle w:val="923"/>
        <w:ind w:firstLine="422"/>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3.合格投标人的资格条件：详见招标公告。</w:t>
      </w:r>
      <w:r/>
    </w:p>
    <w:p>
      <w:pPr>
        <w:pStyle w:val="1033"/>
        <w:ind w:firstLine="422"/>
        <w:spacing w:beforeAutospacing="0" w:afterAutospacing="0" w:line="360" w:lineRule="auto"/>
        <w:rPr>
          <w:rFonts w:hint="eastAsia" w:ascii="宋体" w:hAnsi="宋体" w:cs="宋体"/>
          <w:bCs/>
          <w:color w:val="000000"/>
        </w:rPr>
      </w:pPr>
      <w:r>
        <w:rPr>
          <w:rFonts w:hint="eastAsia" w:ascii="宋体" w:hAnsi="宋体" w:cs="宋体"/>
          <w:bCs/>
          <w:color w:val="000000"/>
        </w:rPr>
        <w:t xml:space="preserve">4.投标人代表</w:t>
      </w:r>
      <w:r/>
    </w:p>
    <w:p>
      <w:pPr>
        <w:pStyle w:val="1033"/>
        <w:ind w:firstLine="420"/>
        <w:spacing w:beforeAutospacing="0" w:afterAutospacing="0" w:line="360" w:lineRule="auto"/>
        <w:rPr>
          <w:rFonts w:hint="eastAsia" w:ascii="宋体" w:hAnsi="宋体" w:cs="宋体"/>
          <w:bCs/>
          <w:color w:val="000000"/>
        </w:rPr>
      </w:pPr>
      <w:r>
        <w:rPr>
          <w:rFonts w:hint="eastAsia" w:ascii="宋体" w:hAnsi="宋体" w:cs="宋体"/>
          <w:bCs/>
          <w:color w:val="000000"/>
        </w:rPr>
        <w:t xml:space="preserve">4.1指授权全权代表投标人参加投标活动并签署投标文件的人，如果投标人代表不是法人代表，须持有《法定代表人授权委托书》（详见统一格式）。</w:t>
      </w:r>
      <w:r/>
    </w:p>
    <w:p>
      <w:pPr>
        <w:pStyle w:val="1033"/>
        <w:ind w:firstLine="422"/>
        <w:spacing w:beforeAutospacing="0" w:afterAutospacing="0" w:line="360" w:lineRule="auto"/>
        <w:rPr>
          <w:rFonts w:hint="eastAsia" w:ascii="宋体" w:hAnsi="宋体" w:cs="宋体"/>
          <w:bCs/>
          <w:color w:val="000000"/>
        </w:rPr>
      </w:pPr>
      <w:r>
        <w:rPr>
          <w:rFonts w:hint="eastAsia" w:ascii="宋体" w:hAnsi="宋体" w:cs="宋体"/>
          <w:bCs/>
          <w:color w:val="000000"/>
        </w:rPr>
        <w:t xml:space="preserve">5.投标费用</w:t>
      </w:r>
      <w:r/>
    </w:p>
    <w:p>
      <w:pPr>
        <w:pStyle w:val="1033"/>
        <w:ind w:firstLine="420"/>
        <w:spacing w:beforeAutospacing="0" w:afterAutospacing="0" w:line="360" w:lineRule="auto"/>
        <w:rPr>
          <w:rFonts w:hint="eastAsia" w:ascii="宋体" w:hAnsi="宋体" w:cs="宋体"/>
          <w:bCs/>
          <w:color w:val="000000"/>
        </w:rPr>
      </w:pPr>
      <w:r>
        <w:rPr>
          <w:rFonts w:hint="eastAsia" w:ascii="宋体" w:hAnsi="宋体" w:cs="宋体"/>
          <w:bCs/>
          <w:color w:val="000000"/>
        </w:rPr>
        <w:t xml:space="preserve">5.1无论投标过程中的做法和结果如何，投标人自行承担所有与参加投标有关的全部费用。</w:t>
      </w:r>
      <w:r/>
    </w:p>
    <w:p>
      <w:pPr>
        <w:pStyle w:val="923"/>
        <w:ind w:firstLine="422"/>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6.联合投标及转包、分包</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6.1本项目不接受联合体投标。</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6.2本项目不接受转包、分包。</w:t>
      </w:r>
      <w:bookmarkStart w:id="36" w:name="_Toc31958"/>
      <w:r/>
      <w:bookmarkStart w:id="37" w:name="_Toc5764"/>
      <w:r/>
      <w:r/>
    </w:p>
    <w:p>
      <w:pPr>
        <w:pStyle w:val="923"/>
        <w:ind w:firstLine="422"/>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三、招标文件的说明</w:t>
      </w:r>
      <w:bookmarkEnd w:id="36"/>
      <w:r/>
      <w:bookmarkEnd w:id="37"/>
      <w:r/>
      <w:r/>
    </w:p>
    <w:p>
      <w:pPr>
        <w:pStyle w:val="923"/>
        <w:ind w:firstLine="422"/>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7.招标文件</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7.2招标文件及其补充通知（包括更正公告）未按本招标文件规定的方式获得的，采购人或采购代理机构对招标文件及其补遗的真实性、完整性不承担任何责任。</w:t>
      </w:r>
      <w:r/>
    </w:p>
    <w:p>
      <w:pPr>
        <w:ind w:firstLine="422"/>
        <w:spacing w:line="360" w:lineRule="auto"/>
        <w:rPr>
          <w:rFonts w:hint="eastAsia" w:ascii="宋体" w:hAnsi="宋体" w:cs="宋体"/>
          <w:bCs/>
          <w:color w:val="000000"/>
          <w:sz w:val="24"/>
        </w:rPr>
      </w:pPr>
      <w:r/>
      <w:bookmarkStart w:id="38" w:name="_Toc19463"/>
      <w:r/>
      <w:bookmarkStart w:id="39" w:name="_Toc16745"/>
      <w:r>
        <w:rPr>
          <w:rFonts w:hint="eastAsia" w:ascii="宋体" w:hAnsi="宋体" w:cs="宋体"/>
          <w:bCs/>
          <w:color w:val="000000"/>
          <w:sz w:val="24"/>
        </w:rPr>
        <w:t xml:space="preserve">8、招标文件的询问与澄清(修改)</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投标人应及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8.4招标文件的澄清、修改、补充等内容均以苏州市政府采购网上发布的内容为准。</w:t>
      </w:r>
      <w:r/>
    </w:p>
    <w:p>
      <w:pPr>
        <w:ind w:firstLine="422"/>
        <w:spacing w:line="360" w:lineRule="auto"/>
        <w:rPr>
          <w:rFonts w:hint="eastAsia" w:ascii="宋体" w:hAnsi="宋体" w:cs="宋体"/>
          <w:bCs/>
          <w:color w:val="000000"/>
          <w:sz w:val="24"/>
        </w:rPr>
      </w:pPr>
      <w:r>
        <w:rPr>
          <w:rFonts w:hint="eastAsia" w:ascii="宋体" w:hAnsi="宋体" w:cs="宋体"/>
          <w:bCs/>
          <w:color w:val="000000"/>
          <w:sz w:val="24"/>
        </w:rPr>
        <w:t xml:space="preserve">9.勘察现场（不涉及此条的忽略）</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rFonts w:hint="eastAsia" w:ascii="宋体" w:hAnsi="宋体" w:cs="宋体"/>
          <w:bCs/>
          <w:color w:val="000000"/>
          <w:sz w:val="24"/>
        </w:rPr>
      </w:pPr>
      <w:r>
        <w:rPr>
          <w:rFonts w:hint="eastAsia" w:ascii="宋体" w:hAnsi="宋体" w:cs="宋体"/>
          <w:bCs/>
          <w:color w:val="000000"/>
          <w:sz w:val="24"/>
        </w:rPr>
        <w:t xml:space="preserve">10.投标质疑</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10.2本次招标文件要求供应商在法定质疑期内一次性提出针对同一采购程序环节的质疑，否则不予受理。</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10.3供应商提出质疑应当提交质疑函和必要的证明材料，质疑函应当包括下列内容：</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（1）供应商的姓名或者名称（以提供的营业执照副本复印件为准）、地址、邮编、联系人及联系电话；</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（2）质疑项目的名称、编号；</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（3）具体、明确的质疑事项和与质疑事项相关的请求；</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（4）事实依据；</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（5）必要的法律依据；</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（6）提出质疑的日期。</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23"/>
        <w:ind w:firstLine="422"/>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供应商提交的质疑函必须按照《政府采购供应商质疑函范本》要求的格式和内容进行填写，质疑函范本下载网址详见链接：https://czju.suzhou.gov.cn/zfcg/html/content/20180305093615738.shtml。</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10.5接收质疑函的方式：书面形式（当场送达或邮寄方式）。</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10.6联系单位：苏州铖溢林建设工程管理有限公司</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10.7收件人：吴鑫斌</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10.8联系电话：18251126552</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10.9通讯地址：苏州市</w:t>
      </w:r>
      <w:r>
        <w:rPr>
          <w:rFonts w:hint="eastAsia" w:ascii="宋体" w:hAnsi="宋体" w:cs="宋体"/>
          <w:bCs/>
          <w:color w:val="000000"/>
          <w:sz w:val="24"/>
        </w:rPr>
        <w:t xml:space="preserve">东太湖路66号2号楼207室</w:t>
      </w:r>
      <w:r>
        <w:rPr>
          <w:rFonts w:hint="eastAsia" w:ascii="宋体" w:hAnsi="宋体" w:cs="宋体"/>
          <w:bCs/>
          <w:color w:val="000000"/>
          <w:sz w:val="24"/>
        </w:rPr>
        <w:t xml:space="preserve">。</w:t>
      </w:r>
      <w:r/>
    </w:p>
    <w:p>
      <w:pPr>
        <w:pStyle w:val="923"/>
        <w:ind w:firstLine="422"/>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四、投标文件说明</w:t>
      </w:r>
      <w:bookmarkEnd w:id="38"/>
      <w:r/>
      <w:bookmarkEnd w:id="39"/>
      <w:r/>
      <w:r/>
    </w:p>
    <w:p>
      <w:pPr>
        <w:pStyle w:val="923"/>
        <w:ind w:firstLine="422"/>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11.提示与要求</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11.2无论是否递交投标文件，投标人都应将招标文件及以后的所有通知、文件等视为保密文件。</w:t>
      </w:r>
      <w:r/>
    </w:p>
    <w:p>
      <w:pPr>
        <w:pStyle w:val="923"/>
        <w:ind w:firstLine="422"/>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12.投标文件计量单位和使用文字</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12.1投标文件中所使用的计量单位，除招标文件中有特殊要求外，均应使用中华人民共和国法定计量单位。</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360" w:lineRule="auto"/>
        <w:rPr>
          <w:rFonts w:hint="eastAsia" w:ascii="宋体" w:hAnsi="宋体" w:cs="宋体"/>
          <w:bCs/>
          <w:color w:val="000000"/>
          <w:sz w:val="24"/>
        </w:rPr>
      </w:pPr>
      <w:r>
        <w:rPr>
          <w:rFonts w:hint="eastAsia" w:ascii="宋体" w:hAnsi="宋体" w:cs="宋体"/>
          <w:bCs/>
          <w:color w:val="000000"/>
          <w:sz w:val="24"/>
        </w:rPr>
        <w:t xml:space="preserve">13.知识产权</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tabs>
          <w:tab w:val="left" w:pos="567" w:leader="none"/>
        </w:tabs>
        <w:rPr>
          <w:rFonts w:hint="eastAsia" w:ascii="宋体" w:hAnsi="宋体" w:cs="宋体"/>
          <w:bCs/>
          <w:color w:val="000000"/>
          <w:sz w:val="24"/>
        </w:rPr>
      </w:pPr>
      <w:r>
        <w:rPr>
          <w:rFonts w:hint="eastAsia" w:ascii="宋体" w:hAnsi="宋体" w:cs="宋体"/>
          <w:bCs/>
          <w:color w:val="000000"/>
          <w:sz w:val="24"/>
        </w:rPr>
        <w:t xml:space="preserve">14.投标文件的组成（部分格式见第三章。）</w:t>
      </w:r>
      <w:r/>
    </w:p>
    <w:p>
      <w:pPr>
        <w:ind w:firstLine="422"/>
        <w:spacing w:line="360" w:lineRule="auto"/>
        <w:rPr>
          <w:rFonts w:hint="eastAsia" w:ascii="宋体" w:hAnsi="宋体" w:cs="宋体"/>
          <w:bCs/>
          <w:color w:val="000000"/>
          <w:sz w:val="24"/>
        </w:rPr>
      </w:pPr>
      <w:r>
        <w:rPr>
          <w:rFonts w:hint="eastAsia" w:ascii="宋体" w:hAnsi="宋体" w:cs="宋体"/>
          <w:bCs/>
          <w:color w:val="000000"/>
          <w:sz w:val="24"/>
        </w:rPr>
        <w:t xml:space="preserve">14.1报价部分：</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14.1.1开标一览表（注：本项目采用电子网上投标，在制作电子投标文件时，填写开标一览表报价时均填写所投对应标段的预算金额即可。）；</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14.1.2报价承诺书；</w:t>
      </w:r>
      <w:r/>
    </w:p>
    <w:p>
      <w:pPr>
        <w:ind w:firstLine="422"/>
        <w:spacing w:line="360" w:lineRule="auto"/>
        <w:rPr>
          <w:rFonts w:hint="eastAsia" w:ascii="宋体" w:hAnsi="宋体" w:cs="宋体"/>
          <w:bCs/>
          <w:color w:val="000000"/>
          <w:sz w:val="24"/>
        </w:rPr>
      </w:pPr>
      <w:r>
        <w:rPr>
          <w:rFonts w:hint="eastAsia" w:ascii="宋体" w:hAnsi="宋体" w:cs="宋体"/>
          <w:bCs/>
          <w:color w:val="000000"/>
          <w:sz w:val="24"/>
        </w:rPr>
        <w:t xml:space="preserve">14.2资格性审查文件：</w:t>
      </w:r>
      <w:r/>
    </w:p>
    <w:p>
      <w:pPr>
        <w:pStyle w:val="923"/>
        <w:spacing w:line="360" w:lineRule="auto"/>
        <w:tabs>
          <w:tab w:val="left" w:pos="0" w:leader="none"/>
        </w:tabs>
        <w:rPr>
          <w:rFonts w:hint="eastAsia" w:ascii="宋体" w:hAnsi="宋体" w:eastAsia="宋体" w:cs="宋体"/>
          <w:bCs/>
          <w:color w:val="000000"/>
          <w:szCs w:val="24"/>
        </w:rPr>
      </w:pPr>
      <w:r>
        <w:rPr>
          <w:rFonts w:hint="eastAsia" w:ascii="宋体" w:hAnsi="宋体" w:eastAsia="宋体" w:cs="宋体"/>
          <w:bCs/>
          <w:color w:val="000000"/>
          <w:szCs w:val="24"/>
        </w:rPr>
        <w:t xml:space="preserve">14.2.1具有独立承担民事责任的能力证明。包括法人或者其他组织的营业执照等证明文件，自然人的身份证明；</w:t>
      </w:r>
      <w:r/>
    </w:p>
    <w:p>
      <w:pPr>
        <w:pStyle w:val="1033"/>
        <w:ind w:firstLine="420"/>
        <w:spacing w:beforeAutospacing="0" w:afterAutospacing="0" w:line="360" w:lineRule="auto"/>
        <w:rPr>
          <w:rFonts w:hint="eastAsia" w:ascii="宋体" w:hAnsi="宋体" w:cs="宋体"/>
          <w:bCs/>
          <w:color w:val="000000"/>
        </w:rPr>
      </w:pPr>
      <w:r>
        <w:rPr>
          <w:rFonts w:hint="eastAsia" w:ascii="宋体" w:hAnsi="宋体" w:cs="宋体"/>
          <w:bCs/>
          <w:color w:val="000000"/>
        </w:rPr>
        <w:t xml:space="preserve">14.2.2具有良好的商业信誉和健全的财务会计制度证明：包括但不限于最近一年度经审计的财务报告，其他组织、自然人及成立未满一年的法人应提供银行出具的资信证明；</w:t>
      </w:r>
      <w:r/>
    </w:p>
    <w:p>
      <w:pPr>
        <w:pStyle w:val="1033"/>
        <w:ind w:firstLine="420"/>
        <w:spacing w:beforeAutospacing="0" w:afterAutospacing="0" w:line="360" w:lineRule="auto"/>
        <w:rPr>
          <w:rFonts w:hint="eastAsia" w:ascii="宋体" w:hAnsi="宋体" w:cs="宋体"/>
          <w:bCs/>
          <w:color w:val="000000"/>
        </w:rPr>
      </w:pPr>
      <w:r>
        <w:rPr>
          <w:rFonts w:hint="eastAsia" w:ascii="宋体" w:hAnsi="宋体" w:cs="宋体"/>
          <w:bCs/>
          <w:color w:val="000000"/>
        </w:rPr>
        <w:t xml:space="preserve">14.2.3具备履行合同所必需的设备和专业技术能力的证明材料或承诺；</w:t>
      </w:r>
      <w:r/>
    </w:p>
    <w:p>
      <w:pPr>
        <w:pStyle w:val="923"/>
        <w:spacing w:line="360" w:lineRule="auto"/>
        <w:tabs>
          <w:tab w:val="left" w:pos="0" w:leader="none"/>
        </w:tabs>
        <w:rPr>
          <w:rFonts w:hint="eastAsia" w:ascii="宋体" w:hAnsi="宋体" w:eastAsia="宋体" w:cs="宋体"/>
          <w:bCs/>
          <w:color w:val="000000"/>
          <w:szCs w:val="24"/>
        </w:rPr>
      </w:pPr>
      <w:r>
        <w:rPr>
          <w:rFonts w:hint="eastAsia" w:ascii="宋体" w:hAnsi="宋体" w:eastAsia="宋体" w:cs="宋体"/>
          <w:bCs/>
          <w:color w:val="000000"/>
          <w:szCs w:val="24"/>
        </w:rPr>
        <w:t xml:space="preserve">14.2.4依法缴纳税收和社会保障资金的相关资料：税务登记证（如有）和合理期限内依法缴纳税收的凭据，社会保险登记证（如有）和合理期限内依法缴纳社会保险的凭据（专用收据或社会保险缴纳清单）；</w:t>
      </w:r>
      <w:r/>
    </w:p>
    <w:p>
      <w:pPr>
        <w:pStyle w:val="923"/>
        <w:spacing w:line="360" w:lineRule="auto"/>
        <w:tabs>
          <w:tab w:val="left" w:pos="0" w:leader="none"/>
        </w:tabs>
        <w:rPr>
          <w:rFonts w:hint="eastAsia" w:ascii="宋体" w:hAnsi="宋体" w:eastAsia="宋体" w:cs="宋体"/>
          <w:bCs/>
          <w:color w:val="000000"/>
          <w:szCs w:val="24"/>
        </w:rPr>
      </w:pPr>
      <w:r>
        <w:rPr>
          <w:rFonts w:hint="eastAsia" w:ascii="宋体" w:hAnsi="宋体" w:eastAsia="宋体" w:cs="宋体"/>
          <w:bCs/>
          <w:color w:val="000000"/>
          <w:szCs w:val="24"/>
        </w:rPr>
        <w:t xml:space="preserve">14.2.5参加政府采购活动前三年内在经营活动中没有重大违法记录的书面声明函。</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14.2.6法律、行政法规规定的其他条件。</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14.2.7本项目的特定资格要求：同招标公告要求。 </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14.2.8未被“信用中国”网站或“中国政府采购网”网站列入失信被执行人、重大税收违法案件当事人名单、政府采购严重失信行为记录名单（提供承诺书或网站查询截图）；</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14.2.9单位负责人为同一人或者存在直接控股、管理关系的不同供应商（包含法定代表人为同一个人的两个及两个以上法人，母公司、全资子公司及其控股公司），不得参加同一合同项下的政府采购活动；（提供承诺书） </w:t>
      </w:r>
      <w:r/>
    </w:p>
    <w:p>
      <w:pPr>
        <w:ind w:firstLine="420"/>
        <w:spacing w:line="360" w:lineRule="auto"/>
        <w:rPr>
          <w:rFonts w:hint="eastAsia" w:ascii="宋体" w:hAnsi="宋体" w:cs="宋体"/>
          <w:bCs/>
          <w:color w:val="000000"/>
          <w:sz w:val="24"/>
        </w:rPr>
      </w:pPr>
      <w:r>
        <w:rPr>
          <w:rFonts w:hint="eastAsia" w:ascii="宋体" w:hAnsi="宋体" w:cs="宋体"/>
          <w:bCs/>
          <w:color w:val="000000"/>
          <w:sz w:val="24"/>
        </w:rPr>
        <w:t xml:space="preserve">14.2.10《中小企业声明函》或《残疾人福利性单位声明函》或由省级以上监狱管理局、戒毒管理局（含新疆生产建设兵团）出具的属于监狱企业的证明文件（否则为无效标。）；</w:t>
      </w:r>
      <w:r/>
    </w:p>
    <w:p>
      <w:pPr>
        <w:pStyle w:val="1022"/>
        <w:ind w:firstLine="482"/>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14.3符合性审查文件：</w:t>
      </w:r>
      <w:r/>
    </w:p>
    <w:p>
      <w:pPr>
        <w:pStyle w:val="800"/>
        <w:ind w:left="0" w:firstLine="480"/>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14.3.1投标函；</w:t>
      </w:r>
      <w:r/>
    </w:p>
    <w:p>
      <w:pPr>
        <w:pStyle w:val="800"/>
        <w:ind w:left="0" w:firstLine="480"/>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14.3.1投标单位情况表；</w:t>
      </w:r>
      <w:r/>
    </w:p>
    <w:p>
      <w:pPr>
        <w:pStyle w:val="800"/>
        <w:ind w:left="0" w:firstLine="480"/>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14.3.2投标人法定代表人身份证复印件；</w:t>
      </w:r>
      <w:r/>
    </w:p>
    <w:p>
      <w:pPr>
        <w:pStyle w:val="800"/>
        <w:ind w:left="0" w:firstLine="480"/>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14.3.3法定代表人授权委托书、投标人授权代理人身份证复印件（如有授权）；</w:t>
      </w:r>
      <w:r/>
    </w:p>
    <w:p>
      <w:pPr>
        <w:pStyle w:val="800"/>
        <w:ind w:left="0" w:firstLine="480"/>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14.3.5采购需求中所涉及到的或投标单位认为需加以说明或证明的其他有关符合性证明材料、证明（如有）；</w:t>
      </w:r>
      <w:r/>
    </w:p>
    <w:p>
      <w:pPr>
        <w:pStyle w:val="800"/>
        <w:ind w:left="0" w:firstLine="482"/>
        <w:spacing w:line="360" w:lineRule="auto"/>
        <w:tabs>
          <w:tab w:val="left" w:pos="851" w:leader="none"/>
        </w:tabs>
        <w:rPr>
          <w:rFonts w:hint="eastAsia" w:ascii="宋体" w:hAnsi="宋体" w:cs="宋体"/>
          <w:bCs/>
          <w:color w:val="000000"/>
          <w:sz w:val="24"/>
        </w:rPr>
      </w:pPr>
      <w:r>
        <w:rPr>
          <w:rFonts w:hint="eastAsia" w:ascii="宋体" w:hAnsi="宋体" w:cs="宋体"/>
          <w:bCs/>
          <w:color w:val="000000"/>
          <w:sz w:val="24"/>
        </w:rPr>
        <w:t xml:space="preserve">14.4综合评审文件：</w:t>
      </w:r>
      <w:r/>
    </w:p>
    <w:p>
      <w:pPr>
        <w:ind w:left="420"/>
        <w:spacing w:line="360" w:lineRule="auto"/>
        <w:rPr>
          <w:rFonts w:hint="eastAsia" w:ascii="宋体" w:hAnsi="宋体" w:cs="宋体"/>
          <w:bCs/>
          <w:color w:val="000000"/>
          <w:sz w:val="24"/>
        </w:rPr>
      </w:pPr>
      <w:r>
        <w:rPr>
          <w:rFonts w:hint="eastAsia" w:ascii="宋体" w:hAnsi="宋体" w:cs="宋体"/>
          <w:bCs/>
          <w:color w:val="000000"/>
          <w:sz w:val="24"/>
        </w:rPr>
      </w:r>
      <w:r/>
    </w:p>
    <w:p>
      <w:pPr>
        <w:ind w:firstLine="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.1</w:t>
      </w:r>
      <w:r>
        <w:rPr>
          <w:rFonts w:hint="eastAsia" w:ascii="宋体" w:hAnsi="宋体" w:cs="宋体"/>
          <w:bCs/>
          <w:color w:val="000000"/>
          <w:sz w:val="24"/>
        </w:rPr>
        <w:t xml:space="preserve">服务要求偏离表；</w:t>
      </w:r>
      <w:r>
        <w:rPr>
          <w:rFonts w:ascii="宋体" w:hAnsi="宋体" w:cs="宋体"/>
          <w:bCs/>
          <w:color w:val="000000"/>
          <w:sz w:val="24"/>
        </w:rPr>
        <w:t xml:space="preserve"> </w:t>
      </w:r>
      <w:r/>
    </w:p>
    <w:p>
      <w:pPr>
        <w:ind w:firstLine="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.2</w:t>
      </w:r>
      <w:r>
        <w:rPr>
          <w:rFonts w:hint="eastAsia" w:ascii="宋体" w:hAnsi="宋体" w:cs="宋体"/>
          <w:bCs/>
          <w:color w:val="000000"/>
          <w:sz w:val="24"/>
        </w:rPr>
        <w:t xml:space="preserve">商务需求偏离表；</w:t>
      </w:r>
      <w:r>
        <w:rPr>
          <w:rFonts w:ascii="宋体" w:hAnsi="宋体" w:cs="宋体"/>
          <w:bCs/>
          <w:color w:val="000000"/>
          <w:sz w:val="24"/>
        </w:rPr>
        <w:t xml:space="preserve"> </w:t>
      </w:r>
      <w:r/>
    </w:p>
    <w:p>
      <w:pPr>
        <w:ind w:firstLine="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.3</w:t>
      </w:r>
      <w:r>
        <w:rPr>
          <w:rFonts w:hint="eastAsia" w:ascii="宋体" w:hAnsi="宋体" w:cs="宋体"/>
          <w:bCs/>
          <w:color w:val="000000"/>
          <w:sz w:val="24"/>
        </w:rPr>
        <w:t xml:space="preserve">针对本项目的各项实施、</w:t>
      </w:r>
      <w:r>
        <w:rPr>
          <w:rFonts w:hint="eastAsia" w:ascii="宋体" w:hAnsi="宋体" w:cs="宋体"/>
          <w:bCs/>
          <w:color w:val="000000"/>
          <w:sz w:val="24"/>
        </w:rPr>
        <w:t xml:space="preserve">维护</w:t>
      </w:r>
      <w:r>
        <w:rPr>
          <w:rFonts w:hint="eastAsia" w:ascii="宋体" w:hAnsi="宋体" w:cs="宋体"/>
          <w:bCs/>
          <w:color w:val="000000"/>
          <w:sz w:val="24"/>
        </w:rPr>
        <w:t xml:space="preserve">实施方案及相关制度；</w:t>
      </w:r>
      <w:r/>
    </w:p>
    <w:p>
      <w:pPr>
        <w:ind w:firstLine="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w:t>
      </w:r>
      <w:r>
        <w:rPr>
          <w:rFonts w:hint="eastAsia" w:ascii="宋体" w:hAnsi="宋体" w:cs="宋体"/>
          <w:bCs/>
          <w:color w:val="000000"/>
          <w:sz w:val="24"/>
        </w:rPr>
        <w:t xml:space="preserve">4投入本项目人员配备一览表；</w:t>
      </w:r>
      <w:r/>
    </w:p>
    <w:p>
      <w:pPr>
        <w:ind w:firstLine="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w:t>
      </w:r>
      <w:r>
        <w:rPr>
          <w:rFonts w:hint="eastAsia" w:ascii="宋体" w:hAnsi="宋体" w:cs="宋体"/>
          <w:bCs/>
          <w:color w:val="000000"/>
          <w:sz w:val="24"/>
        </w:rPr>
        <w:t xml:space="preserve">5拟投入本项目车辆（设备）表；</w:t>
      </w:r>
      <w:r/>
    </w:p>
    <w:p>
      <w:pPr>
        <w:ind w:firstLine="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w:t>
      </w:r>
      <w:r>
        <w:rPr>
          <w:rFonts w:hint="eastAsia" w:ascii="宋体" w:hAnsi="宋体" w:cs="宋体"/>
          <w:bCs/>
          <w:color w:val="000000"/>
          <w:sz w:val="24"/>
        </w:rPr>
        <w:t xml:space="preserve">6工具及易耗品清单表；</w:t>
      </w:r>
      <w:r/>
    </w:p>
    <w:p>
      <w:pPr>
        <w:ind w:firstLine="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w:t>
      </w:r>
      <w:r>
        <w:rPr>
          <w:rFonts w:hint="eastAsia" w:ascii="宋体" w:hAnsi="宋体" w:cs="宋体"/>
          <w:bCs/>
          <w:color w:val="000000"/>
          <w:sz w:val="24"/>
        </w:rPr>
        <w:t xml:space="preserve">7相关业绩一览表；</w:t>
      </w:r>
      <w:r/>
    </w:p>
    <w:p>
      <w:pPr>
        <w:ind w:firstLine="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w:t>
      </w:r>
      <w:r>
        <w:rPr>
          <w:rFonts w:hint="eastAsia" w:ascii="宋体" w:hAnsi="宋体" w:cs="宋体"/>
          <w:bCs/>
          <w:color w:val="000000"/>
          <w:sz w:val="24"/>
        </w:rPr>
        <w:t xml:space="preserve">8对本次投标的详细说明（投标人视各自的情况自行编制）；</w:t>
      </w:r>
      <w:r/>
    </w:p>
    <w:p>
      <w:pPr>
        <w:ind w:firstLine="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w:t>
      </w:r>
      <w:r>
        <w:rPr>
          <w:rFonts w:hint="eastAsia" w:ascii="宋体" w:hAnsi="宋体" w:cs="宋体"/>
          <w:bCs/>
          <w:color w:val="000000"/>
          <w:sz w:val="24"/>
        </w:rPr>
        <w:t xml:space="preserve">9评分标准中所涉及到的其他材料、证明；</w:t>
      </w:r>
      <w:r>
        <w:rPr>
          <w:rFonts w:ascii="宋体" w:hAnsi="宋体" w:cs="宋体"/>
          <w:bCs/>
          <w:color w:val="000000"/>
          <w:sz w:val="24"/>
        </w:rPr>
        <w:t xml:space="preserve"> </w:t>
      </w:r>
      <w:r/>
    </w:p>
    <w:p>
      <w:pPr>
        <w:ind w:left="420"/>
        <w:spacing w:line="360" w:lineRule="auto"/>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4.4</w:t>
      </w:r>
      <w:r>
        <w:rPr>
          <w:rFonts w:ascii="宋体" w:hAnsi="宋体" w:cs="宋体"/>
          <w:bCs/>
          <w:color w:val="000000"/>
          <w:sz w:val="24"/>
        </w:rPr>
        <w:t xml:space="preserve">.</w:t>
      </w:r>
      <w:r>
        <w:rPr>
          <w:rFonts w:hint="eastAsia" w:ascii="宋体" w:hAnsi="宋体" w:cs="宋体"/>
          <w:bCs/>
          <w:color w:val="000000"/>
          <w:sz w:val="24"/>
        </w:rPr>
        <w:t xml:space="preserve">10对本次招标有关的及评分标准要求的其它证明材料。</w:t>
      </w:r>
      <w:r/>
    </w:p>
    <w:p>
      <w:pPr>
        <w:ind w:left="420"/>
        <w:spacing w:line="360" w:lineRule="auto"/>
        <w:rPr>
          <w:rFonts w:hint="eastAsia" w:ascii="宋体" w:hAnsi="宋体" w:cs="宋体"/>
          <w:bCs/>
          <w:color w:val="000000"/>
          <w:sz w:val="24"/>
        </w:rPr>
      </w:pPr>
      <w:r>
        <w:rPr>
          <w:rFonts w:hint="eastAsia" w:ascii="宋体" w:hAnsi="宋体" w:cs="宋体"/>
          <w:bCs/>
          <w:color w:val="000000"/>
          <w:sz w:val="24"/>
        </w:rPr>
        <w:t xml:space="preserve">14.4.</w:t>
      </w:r>
      <w:r>
        <w:rPr>
          <w:rFonts w:hint="eastAsia" w:ascii="宋体" w:hAnsi="宋体" w:cs="宋体"/>
          <w:bCs/>
          <w:color w:val="000000"/>
          <w:sz w:val="24"/>
        </w:rPr>
        <w:t xml:space="preserve">11</w:t>
      </w:r>
      <w:r>
        <w:rPr>
          <w:rFonts w:hint="eastAsia" w:ascii="宋体" w:hAnsi="宋体" w:cs="宋体"/>
          <w:bCs/>
          <w:color w:val="000000"/>
          <w:sz w:val="24"/>
        </w:rPr>
        <w:t xml:space="preserve">价格折扣文件（如有）</w:t>
      </w:r>
      <w:r/>
    </w:p>
    <w:p>
      <w:pPr>
        <w:pStyle w:val="1023"/>
        <w:ind w:firstLine="430"/>
        <w:spacing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lang w:val="en-US"/>
        </w:rPr>
        <w:t xml:space="preserve">注：</w:t>
      </w:r>
      <w:r/>
    </w:p>
    <w:p>
      <w:pPr>
        <w:pStyle w:val="1023"/>
        <w:ind w:firstLine="43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（1）投标文件由“</w:t>
      </w:r>
      <w:r>
        <w:rPr>
          <w:rFonts w:hint="eastAsia" w:ascii="宋体" w:hAnsi="宋体" w:eastAsia="宋体" w:cs="宋体"/>
          <w:bCs/>
          <w:color w:val="000000"/>
          <w:sz w:val="24"/>
          <w:szCs w:val="24"/>
          <w:lang w:val="en-US"/>
        </w:rPr>
        <w:t xml:space="preserve">14.1～14.4</w:t>
      </w:r>
      <w:r>
        <w:rPr>
          <w:rFonts w:hint="eastAsia" w:ascii="宋体" w:hAnsi="宋体" w:eastAsia="宋体" w:cs="宋体"/>
          <w:bCs/>
          <w:color w:val="000000"/>
          <w:sz w:val="24"/>
          <w:szCs w:val="24"/>
          <w:lang w:val="en-US"/>
        </w:rPr>
        <w:t xml:space="preserve">”款规定的内容共同组成，投标人必须提交上述“14.1”、“14.2”“14.3”款规定的资料，否则，投标文件将被视为未实质性响应招标要求。</w:t>
      </w:r>
      <w:r/>
    </w:p>
    <w:p>
      <w:pPr>
        <w:pStyle w:val="1023"/>
        <w:ind w:firstLine="43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hint="eastAsia" w:ascii="宋体" w:hAnsi="宋体" w:cs="宋体"/>
          <w:bCs/>
          <w:color w:val="000000"/>
          <w:sz w:val="24"/>
        </w:rPr>
      </w:pPr>
      <w:r>
        <w:rPr>
          <w:rFonts w:hint="eastAsia" w:ascii="宋体" w:hAnsi="宋体" w:cs="宋体"/>
          <w:bCs/>
          <w:color w:val="000000"/>
          <w:sz w:val="24"/>
        </w:rPr>
        <w:t xml:space="preserve">15.投标文件编制要求</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15.1</w:t>
      </w:r>
      <w:r>
        <w:rPr>
          <w:rFonts w:hint="eastAsia" w:ascii="宋体" w:hAnsi="宋体" w:eastAsia="宋体" w:cs="宋体"/>
          <w:bCs/>
          <w:color w:val="000000"/>
          <w:sz w:val="24"/>
          <w:szCs w:val="24"/>
        </w:rPr>
        <w:t xml:space="preserve">制作电子投标（响应）文件时请将相关资料上传至相应模块。投标人应保证上传的投标文件完整、清晰可辨认，若因上传资料过小或模糊不清等无法辨认的都视为该资料未提供。</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15.2</w:t>
      </w:r>
      <w:r>
        <w:rPr>
          <w:rFonts w:hint="eastAsia" w:ascii="宋体" w:hAnsi="宋体" w:eastAsia="宋体" w:cs="宋体"/>
          <w:bCs/>
          <w:color w:val="000000"/>
          <w:sz w:val="24"/>
          <w:szCs w:val="24"/>
        </w:rPr>
        <w:t xml:space="preserve">投标人必须保证全部投标资料的真实性，如有虚假或对招标文件所要求说明的情况故意隐瞒或虚报，视为不实质性响应招标文件，投标无效。</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16.投标报价（编制）要求的说明</w:t>
      </w:r>
      <w:r/>
    </w:p>
    <w:p>
      <w:pPr>
        <w:ind w:firstLine="420"/>
        <w:spacing w:line="360" w:lineRule="auto"/>
        <w:tabs>
          <w:tab w:val="left" w:pos="567" w:leader="none"/>
        </w:tabs>
        <w:rPr>
          <w:rFonts w:hint="eastAsia" w:ascii="宋体" w:hAnsi="宋体" w:cs="宋体"/>
          <w:bCs/>
          <w:sz w:val="24"/>
        </w:rPr>
      </w:pPr>
      <w:r>
        <w:rPr>
          <w:rFonts w:hint="eastAsia" w:ascii="宋体" w:hAnsi="宋体" w:cs="宋体"/>
          <w:bCs/>
          <w:color w:val="000000"/>
          <w:sz w:val="24"/>
        </w:rPr>
        <w:t xml:space="preserve">16.1除非合同中另有规定，投标人对《开标一览表》中的报价</w:t>
      </w:r>
      <w:r>
        <w:rPr>
          <w:rFonts w:hint="eastAsia" w:ascii="宋体" w:hAnsi="宋体" w:cs="宋体"/>
          <w:bCs/>
          <w:sz w:val="24"/>
        </w:rPr>
        <w:t xml:space="preserve">应</w:t>
      </w:r>
      <w:r>
        <w:rPr>
          <w:rFonts w:ascii="宋体" w:hAnsi="宋体"/>
          <w:bCs/>
          <w:color w:val="000000"/>
          <w:sz w:val="24"/>
        </w:rPr>
        <w:t xml:space="preserve">包括</w:t>
      </w:r>
      <w:r>
        <w:rPr>
          <w:rFonts w:hint="eastAsia" w:ascii="宋体" w:hAnsi="宋体" w:cs="宋体"/>
          <w:bCs/>
          <w:color w:val="000000"/>
          <w:sz w:val="24"/>
        </w:rPr>
        <w:t xml:space="preserve">完成所有采购内容以及本项目所需的</w:t>
      </w:r>
      <w:r>
        <w:rPr>
          <w:rFonts w:hint="eastAsia" w:ascii="宋体" w:hAnsi="宋体" w:cs="宋体"/>
          <w:bCs/>
          <w:color w:val="000000"/>
          <w:sz w:val="24"/>
        </w:rPr>
        <w:t xml:space="preserve">全部服务</w:t>
      </w:r>
      <w:r>
        <w:rPr>
          <w:rFonts w:hint="eastAsia" w:ascii="宋体" w:hAnsi="宋体"/>
          <w:bCs/>
          <w:color w:val="000000"/>
          <w:sz w:val="24"/>
        </w:rPr>
        <w:t xml:space="preserve">。</w:t>
      </w:r>
      <w:r>
        <w:rPr>
          <w:rFonts w:hint="eastAsia" w:ascii="宋体" w:hAnsi="宋体" w:cs="宋体"/>
          <w:bCs/>
          <w:color w:val="000000"/>
          <w:sz w:val="24"/>
        </w:rPr>
        <w:t xml:space="preserve">同时，除非合同条款中另有规定，否则，乙方所报价格在合同实施期间不因市场变化因素而变动。</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投标人应对招标文件内所要采购的全部内容进行报价，只投其中部分内容者，其标书将被拒绝（如为多标段项目，则上述提到的全部内容是指所投标段对应采购的全部内容）。</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3</w:t>
      </w:r>
      <w:r>
        <w:rPr>
          <w:rFonts w:hint="eastAsia" w:ascii="宋体" w:hAnsi="宋体" w:eastAsia="宋体" w:cs="宋体"/>
          <w:bCs/>
          <w:color w:val="000000"/>
          <w:sz w:val="24"/>
          <w:szCs w:val="24"/>
        </w:rPr>
        <w:t xml:space="preserve">一项投标内容只允许一个报价，招标人不接受任何有选择性的投标报价。</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4</w:t>
      </w:r>
      <w:r>
        <w:rPr>
          <w:rFonts w:hint="eastAsia" w:ascii="宋体" w:hAnsi="宋体" w:eastAsia="宋体" w:cs="宋体"/>
          <w:bCs/>
          <w:color w:val="000000"/>
          <w:sz w:val="24"/>
          <w:szCs w:val="24"/>
        </w:rPr>
        <w:t xml:space="preserve">投标文件报价采用人民币表示，除非合同的特殊条款另有规定。</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val="en-US"/>
        </w:rPr>
        <w:t xml:space="preserve">5</w:t>
      </w:r>
      <w:r>
        <w:rPr>
          <w:rFonts w:hint="eastAsia" w:ascii="宋体" w:hAnsi="宋体" w:eastAsia="宋体" w:cs="宋体"/>
          <w:bCs/>
          <w:color w:val="000000"/>
          <w:sz w:val="24"/>
          <w:szCs w:val="24"/>
        </w:rPr>
        <w:t xml:space="preserve">最低的报价或最高的</w:t>
      </w:r>
      <w:r>
        <w:rPr>
          <w:rFonts w:hint="eastAsia" w:ascii="宋体" w:hAnsi="宋体" w:eastAsia="宋体" w:cs="宋体"/>
          <w:bCs/>
          <w:color w:val="000000"/>
          <w:sz w:val="24"/>
          <w:szCs w:val="24"/>
          <w:lang w:val="en-US"/>
        </w:rPr>
        <w:t xml:space="preserve">优惠比例</w:t>
      </w:r>
      <w:r>
        <w:rPr>
          <w:rFonts w:hint="eastAsia" w:ascii="宋体" w:hAnsi="宋体" w:eastAsia="宋体" w:cs="宋体"/>
          <w:bCs/>
          <w:color w:val="000000"/>
          <w:sz w:val="24"/>
          <w:szCs w:val="24"/>
        </w:rPr>
        <w:t xml:space="preserve">不能作为中标的保证。</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17.投标保证金：</w:t>
      </w:r>
      <w:r>
        <w:rPr>
          <w:rFonts w:hint="eastAsia" w:ascii="宋体" w:hAnsi="宋体" w:eastAsia="宋体" w:cs="宋体"/>
          <w:bCs/>
          <w:color w:val="000000"/>
          <w:sz w:val="24"/>
          <w:szCs w:val="24"/>
          <w:lang w:val="en-US"/>
        </w:rPr>
        <w:t xml:space="preserve">本项目不收取投标保证金。</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18.投标文件的有效期</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18.1自提交投标文件截止之日起90天内，投标文件中承诺的投标有效期应当不少于招标文件中载明的投标有效期。</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18.2在特殊情况下，采购人、采购代理机构可与投标人协商延长投标书的有效期。这种要求和答复都应以书面形式进行。同意延长有效期的投标人不能修改投标文件。</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19.投标文件的制作、签署</w:t>
      </w:r>
      <w:r/>
    </w:p>
    <w:p>
      <w:pPr>
        <w:pStyle w:val="1023"/>
        <w:ind w:firstLine="420"/>
        <w:spacing w:line="360" w:lineRule="auto"/>
        <w:rPr>
          <w:rFonts w:hint="eastAsia" w:ascii="宋体" w:hAnsi="宋体" w:eastAsia="宋体" w:cs="宋体"/>
          <w:bCs/>
          <w:color w:val="000000"/>
          <w:sz w:val="24"/>
          <w:szCs w:val="24"/>
        </w:rPr>
      </w:pPr>
      <w:r/>
      <w:bookmarkStart w:id="40" w:name="_Toc25608"/>
      <w:r/>
      <w:bookmarkStart w:id="41" w:name="_Toc31150"/>
      <w:r>
        <w:rPr>
          <w:rFonts w:hint="eastAsia" w:ascii="宋体" w:hAnsi="宋体" w:eastAsia="宋体" w:cs="宋体"/>
          <w:bCs/>
          <w:color w:val="000000"/>
          <w:sz w:val="24"/>
          <w:szCs w:val="24"/>
        </w:rPr>
        <w:t xml:space="preserve">19.1本项目采用电子招投标形式，请供应商按照《苏采云系统供应商操作手册》进行制作、上传电子投标文件。</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19.2制作电子投标文件时，应按照招标文件要求加盖投标人电子公章。</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bookmarkEnd w:id="40"/>
      <w:r/>
      <w:bookmarkEnd w:id="41"/>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五、</w:t>
      </w:r>
      <w:r>
        <w:rPr>
          <w:rFonts w:hint="eastAsia" w:ascii="宋体" w:hAnsi="宋体" w:eastAsia="宋体" w:cs="宋体"/>
          <w:bCs/>
          <w:color w:val="000000"/>
          <w:sz w:val="24"/>
          <w:szCs w:val="24"/>
        </w:rPr>
        <w:t xml:space="preserve">投标文件的递交、补充、修改和撤回</w:t>
      </w:r>
      <w:r/>
    </w:p>
    <w:p>
      <w:pPr>
        <w:pStyle w:val="1023"/>
        <w:ind w:firstLine="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    20.</w:t>
      </w:r>
      <w:r>
        <w:rPr>
          <w:rFonts w:hint="eastAsia" w:ascii="宋体" w:hAnsi="宋体" w:eastAsia="宋体" w:cs="宋体"/>
          <w:bCs/>
          <w:color w:val="000000"/>
          <w:sz w:val="24"/>
          <w:szCs w:val="24"/>
        </w:rPr>
        <w:t xml:space="preserve">投标文件的递交（</w:t>
      </w:r>
      <w:r>
        <w:rPr>
          <w:rFonts w:hint="eastAsia" w:ascii="宋体" w:hAnsi="宋体" w:eastAsia="宋体" w:cs="宋体"/>
          <w:bCs/>
          <w:color w:val="000000"/>
          <w:sz w:val="24"/>
          <w:szCs w:val="24"/>
          <w:lang w:val="en-US"/>
        </w:rPr>
        <w:t xml:space="preserve">上传</w:t>
      </w:r>
      <w:r>
        <w:rPr>
          <w:rFonts w:hint="eastAsia" w:ascii="宋体" w:hAnsi="宋体" w:eastAsia="宋体" w:cs="宋体"/>
          <w:bCs/>
          <w:color w:val="000000"/>
          <w:sz w:val="24"/>
          <w:szCs w:val="24"/>
        </w:rPr>
        <w:t xml:space="preserve">）</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20.1</w:t>
      </w:r>
      <w:r>
        <w:rPr>
          <w:rFonts w:hint="eastAsia" w:ascii="宋体" w:hAnsi="宋体" w:eastAsia="宋体" w:cs="宋体"/>
          <w:bCs/>
          <w:color w:val="000000"/>
          <w:sz w:val="24"/>
          <w:szCs w:val="24"/>
        </w:rPr>
        <w:t xml:space="preserve">投标人应当在在投标截止时间前制作并上传电子投标文件。</w:t>
      </w:r>
      <w:r/>
    </w:p>
    <w:p>
      <w:pPr>
        <w:pStyle w:val="923"/>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20.2投标人通过“苏采云”系统不见面开标大厅在线参与开标活动。（具体操作详见《苏采云系统供应商操作手册》，网址链接https://czju.suzhou.gov.cn/zfcg/html/content/20231220161910031.shtml）</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21.投标截止时间</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21.1投标人应当在招标文件要求投标文件网上提交截止时间前，将投标文件完成提交（上传）。逾期提交（上传）的投标文件，采购人和采购代理机构拒绝接收。</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21.3在投标截止时间止成功解密的</w:t>
      </w:r>
      <w:r>
        <w:rPr>
          <w:rFonts w:hint="eastAsia" w:ascii="宋体" w:hAnsi="宋体" w:eastAsia="宋体" w:cs="宋体"/>
          <w:bCs/>
          <w:color w:val="000000"/>
          <w:sz w:val="24"/>
          <w:szCs w:val="24"/>
          <w:lang w:val="en-US"/>
        </w:rPr>
        <w:t xml:space="preserve">各标段</w:t>
      </w:r>
      <w:r>
        <w:rPr>
          <w:rFonts w:hint="eastAsia" w:ascii="宋体" w:hAnsi="宋体" w:eastAsia="宋体" w:cs="宋体"/>
          <w:bCs/>
          <w:color w:val="000000"/>
          <w:sz w:val="24"/>
          <w:szCs w:val="24"/>
        </w:rPr>
        <w:t xml:space="preserve">投标文件少于三份，采购代理机构有权宣布本次招标失败。</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22.投标文件的补充、修改和撤回</w:t>
      </w:r>
      <w:r/>
    </w:p>
    <w:p>
      <w:pPr>
        <w:pStyle w:val="1023"/>
        <w:ind w:firstLine="420"/>
        <w:spacing w:line="360" w:lineRule="auto"/>
        <w:rPr>
          <w:rFonts w:hint="eastAsia" w:ascii="宋体" w:hAnsi="宋体" w:eastAsia="宋体" w:cs="宋体"/>
          <w:bCs/>
          <w:color w:val="000000"/>
          <w:sz w:val="24"/>
          <w:szCs w:val="24"/>
        </w:rPr>
      </w:pPr>
      <w:r/>
      <w:bookmarkStart w:id="42" w:name="_Toc29371"/>
      <w:r/>
      <w:bookmarkStart w:id="43" w:name="_Toc22837"/>
      <w:r>
        <w:rPr>
          <w:rFonts w:hint="eastAsia" w:ascii="宋体" w:hAnsi="宋体" w:eastAsia="宋体" w:cs="宋体"/>
          <w:bCs/>
          <w:color w:val="000000"/>
          <w:sz w:val="24"/>
          <w:szCs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六、开标和评标</w:t>
      </w:r>
      <w:bookmarkEnd w:id="42"/>
      <w:r/>
      <w:bookmarkEnd w:id="43"/>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23.开标</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23.1开标由采购代理机构</w:t>
      </w:r>
      <w:r>
        <w:rPr>
          <w:rFonts w:hint="eastAsia" w:ascii="宋体" w:hAnsi="宋体" w:eastAsia="宋体" w:cs="宋体"/>
          <w:bCs/>
          <w:color w:val="000000"/>
          <w:sz w:val="24"/>
          <w:szCs w:val="24"/>
          <w:lang w:val="en-US"/>
        </w:rPr>
        <w:t xml:space="preserve">在线</w:t>
      </w:r>
      <w:r>
        <w:rPr>
          <w:rFonts w:hint="eastAsia" w:ascii="宋体" w:hAnsi="宋体" w:eastAsia="宋体" w:cs="宋体"/>
          <w:bCs/>
          <w:color w:val="000000"/>
          <w:sz w:val="24"/>
          <w:szCs w:val="24"/>
        </w:rPr>
        <w:t xml:space="preserve">主持，邀请投标人</w:t>
      </w:r>
      <w:r>
        <w:rPr>
          <w:rFonts w:hint="eastAsia" w:ascii="宋体" w:hAnsi="宋体" w:eastAsia="宋体" w:cs="宋体"/>
          <w:bCs/>
          <w:color w:val="000000"/>
          <w:sz w:val="24"/>
          <w:szCs w:val="24"/>
          <w:lang w:val="en-US"/>
        </w:rPr>
        <w:t xml:space="preserve">在线</w:t>
      </w:r>
      <w:r>
        <w:rPr>
          <w:rFonts w:hint="eastAsia" w:ascii="宋体" w:hAnsi="宋体" w:eastAsia="宋体" w:cs="宋体"/>
          <w:bCs/>
          <w:color w:val="000000"/>
          <w:sz w:val="24"/>
          <w:szCs w:val="24"/>
        </w:rPr>
        <w:t xml:space="preserve">参加。投标人应当按照《苏采云系统供应商操作手册》规定，参加开标活动和在“苏采云”系统规定的时间内对投标文件进行解密。评标委员会成员不得参加开标活动。</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23.2</w:t>
      </w:r>
      <w:bookmarkStart w:id="44" w:name="_Hlk158135325"/>
      <w:r/>
      <w:bookmarkStart w:id="45" w:name="_Hlk90652960"/>
      <w:r>
        <w:rPr>
          <w:rFonts w:hint="eastAsia" w:ascii="宋体" w:hAnsi="宋体" w:eastAsia="宋体" w:cs="宋体"/>
          <w:bCs/>
          <w:color w:val="000000"/>
          <w:sz w:val="24"/>
          <w:szCs w:val="24"/>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bookmarkEnd w:id="44"/>
      <w:r>
        <w:rPr>
          <w:rFonts w:hint="eastAsia" w:ascii="宋体" w:hAnsi="宋体" w:eastAsia="宋体" w:cs="宋体"/>
          <w:bCs/>
          <w:color w:val="000000"/>
          <w:sz w:val="24"/>
          <w:szCs w:val="24"/>
        </w:rPr>
        <w:t xml:space="preserve">。</w:t>
      </w:r>
      <w:r/>
    </w:p>
    <w:p>
      <w:pPr>
        <w:pStyle w:val="1023"/>
        <w:ind w:firstLine="420"/>
        <w:spacing w:line="360" w:lineRule="auto"/>
        <w:rPr>
          <w:rFonts w:hint="eastAsia" w:ascii="宋体" w:hAnsi="宋体" w:eastAsia="宋体" w:cs="宋体"/>
          <w:bCs/>
          <w:color w:val="000000"/>
          <w:sz w:val="24"/>
          <w:szCs w:val="24"/>
        </w:rPr>
      </w:pPr>
      <w:r/>
      <w:bookmarkStart w:id="46" w:name="_Hlk158135390"/>
      <w:r/>
      <w:bookmarkEnd w:id="45"/>
      <w:r>
        <w:rPr>
          <w:rFonts w:hint="eastAsia" w:ascii="宋体" w:hAnsi="宋体" w:eastAsia="宋体" w:cs="宋体"/>
          <w:bCs/>
          <w:color w:val="000000"/>
          <w:sz w:val="24"/>
          <w:szCs w:val="24"/>
          <w:lang w:val="en-US"/>
        </w:rPr>
        <w:t xml:space="preserve">23.3</w:t>
      </w:r>
      <w:r>
        <w:rPr>
          <w:rFonts w:hint="eastAsia" w:ascii="宋体" w:hAnsi="宋体" w:eastAsia="宋体" w:cs="宋体"/>
          <w:bCs/>
          <w:color w:val="000000"/>
          <w:sz w:val="24"/>
          <w:szCs w:val="24"/>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46"/>
      <w:r/>
      <w:r/>
    </w:p>
    <w:p>
      <w:pPr>
        <w:pStyle w:val="1023"/>
        <w:ind w:firstLine="420"/>
        <w:spacing w:line="360" w:lineRule="auto"/>
        <w:rPr>
          <w:rFonts w:hint="eastAsia" w:ascii="宋体" w:hAnsi="宋体" w:eastAsia="宋体" w:cs="宋体"/>
          <w:bCs/>
          <w:color w:val="000000"/>
          <w:sz w:val="24"/>
          <w:szCs w:val="24"/>
        </w:rPr>
      </w:pPr>
      <w:r/>
      <w:bookmarkStart w:id="47" w:name="_Hlk158135404"/>
      <w:r/>
      <w:bookmarkStart w:id="48" w:name="_Hlk90653120"/>
      <w:r>
        <w:rPr>
          <w:rFonts w:hint="eastAsia" w:ascii="宋体" w:hAnsi="宋体" w:eastAsia="宋体" w:cs="宋体"/>
          <w:bCs/>
          <w:color w:val="000000"/>
          <w:sz w:val="24"/>
          <w:szCs w:val="24"/>
          <w:lang w:val="en-US"/>
        </w:rPr>
        <w:t xml:space="preserve">23.4</w:t>
      </w:r>
      <w:r>
        <w:rPr>
          <w:rFonts w:hint="eastAsia" w:ascii="宋体" w:hAnsi="宋体" w:eastAsia="宋体" w:cs="宋体"/>
          <w:bCs/>
          <w:color w:val="000000"/>
          <w:sz w:val="24"/>
          <w:szCs w:val="24"/>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47"/>
      <w:r/>
      <w:bookmarkEnd w:id="48"/>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rPr>
        <w:t xml:space="preserve">23.5</w:t>
      </w:r>
      <w:r>
        <w:rPr>
          <w:rFonts w:hint="eastAsia" w:ascii="宋体" w:hAnsi="宋体" w:eastAsia="宋体" w:cs="宋体"/>
          <w:bCs/>
          <w:color w:val="000000"/>
          <w:sz w:val="24"/>
          <w:szCs w:val="24"/>
        </w:rPr>
        <w:t xml:space="preserve">投标人在“苏采云”系统规定的时间内未成功解密电子投标文件的，投标无效。</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rPr>
        <w:t xml:space="preserve">资格审查</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rPr>
        <w:t xml:space="preserve">.1公开招标采购项目开标结束后，采购人应当依法对投标人的资格进行审查，未通过资格审查的视为无效投标。</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t xml:space="preserve">1查询时间：投标文件递交截止时间。</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t xml:space="preserve">2查询渠道：采购代理机构会在接收投标文件截止时间后，查询供应商的信用记录，并将查询结果递交评标委员会。</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hint="eastAsia" w:ascii="宋体" w:hAnsi="宋体" w:cs="宋体"/>
          <w:bCs/>
          <w:color w:val="000000"/>
          <w:sz w:val="24"/>
        </w:rPr>
      </w:pPr>
      <w:r>
        <w:rPr>
          <w:rFonts w:hint="eastAsia" w:ascii="宋体" w:hAnsi="宋体" w:cs="宋体"/>
          <w:bCs/>
          <w:color w:val="000000"/>
          <w:sz w:val="24"/>
          <w:lang w:val="zh-CN"/>
        </w:rPr>
        <w:t xml:space="preserve">23.</w:t>
      </w:r>
      <w:r>
        <w:rPr>
          <w:rFonts w:hint="eastAsia" w:ascii="宋体" w:hAnsi="宋体" w:cs="宋体"/>
          <w:bCs/>
          <w:color w:val="000000"/>
          <w:sz w:val="24"/>
          <w:lang w:val="zh-CN"/>
        </w:rPr>
        <w:t xml:space="preserve">7.</w:t>
      </w:r>
      <w:r>
        <w:rPr>
          <w:rFonts w:hint="eastAsia" w:ascii="宋体" w:hAnsi="宋体" w:cs="宋体"/>
          <w:bCs/>
          <w:color w:val="000000"/>
          <w:sz w:val="24"/>
          <w:lang w:val="zh-CN"/>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20"/>
        <w:spacing w:line="360" w:lineRule="auto"/>
        <w:rPr>
          <w:rFonts w:hint="eastAsia" w:ascii="宋体" w:hAnsi="宋体" w:cs="宋体"/>
          <w:bCs/>
          <w:color w:val="000000"/>
          <w:sz w:val="24"/>
        </w:rPr>
      </w:pPr>
      <w:r>
        <w:rPr>
          <w:rFonts w:hint="eastAsia" w:ascii="宋体" w:hAnsi="宋体" w:cs="宋体"/>
          <w:bCs/>
          <w:color w:val="000000"/>
          <w:sz w:val="24"/>
          <w:lang w:val="zh-CN"/>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bCs/>
          <w:color w:val="000000"/>
          <w:sz w:val="24"/>
        </w:rPr>
      </w:pPr>
      <w:r>
        <w:rPr>
          <w:rFonts w:hint="eastAsia" w:ascii="宋体" w:hAnsi="宋体" w:cs="宋体"/>
          <w:bCs/>
          <w:color w:val="000000"/>
          <w:sz w:val="24"/>
          <w:lang w:val="zh-CN"/>
        </w:rPr>
        <w:t xml:space="preserve">(二)财政部门与法院、工商、税务等部门联合惩戒的失信信息，包括：</w:t>
      </w:r>
      <w:r/>
    </w:p>
    <w:p>
      <w:pPr>
        <w:ind w:firstLine="420"/>
        <w:spacing w:line="360" w:lineRule="auto"/>
        <w:rPr>
          <w:rFonts w:hint="eastAsia" w:ascii="宋体" w:hAnsi="宋体" w:cs="宋体"/>
          <w:bCs/>
          <w:color w:val="000000"/>
          <w:sz w:val="24"/>
        </w:rPr>
      </w:pPr>
      <w:r>
        <w:rPr>
          <w:rFonts w:hint="eastAsia" w:ascii="宋体" w:hAnsi="宋体" w:cs="宋体"/>
          <w:bCs/>
          <w:color w:val="000000"/>
          <w:sz w:val="24"/>
          <w:lang w:val="zh-CN"/>
        </w:rPr>
        <w:t xml:space="preserve">(1)被列入失信被执行人名单；</w:t>
      </w:r>
      <w:r/>
    </w:p>
    <w:p>
      <w:pPr>
        <w:ind w:firstLine="420"/>
        <w:spacing w:line="360" w:lineRule="auto"/>
        <w:rPr>
          <w:rFonts w:hint="eastAsia" w:ascii="宋体" w:hAnsi="宋体" w:cs="宋体"/>
          <w:bCs/>
          <w:color w:val="000000"/>
          <w:sz w:val="24"/>
        </w:rPr>
      </w:pPr>
      <w:r>
        <w:rPr>
          <w:rFonts w:hint="eastAsia" w:ascii="宋体" w:hAnsi="宋体" w:cs="宋体"/>
          <w:bCs/>
          <w:color w:val="000000"/>
          <w:sz w:val="24"/>
          <w:lang w:val="zh-CN"/>
        </w:rPr>
        <w:t xml:space="preserve">(2)被列入重大税收违法案件当事人名单；</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评审小组应当对投标文件进行评审，并根据招标文件规定的程序、评定中标的标准等事项与实质性响应招标文件要求的供应商进行评审。未实质性响应招标文件的投标文件按无效处理，评审小组应当告知有关供应商。</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24.评标委员会</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24.1评标委员会负责具体评标事务，并独立履行下列职责：</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24.1.1审查、评价投标文件是否符合招标文件的商务、技术等实质性要求；</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24.1.2要求投标人对投标文件有关事项作出澄清或者说明；</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24.1.3对投标文件进行比较和评价；</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24.1.4确定中标候选人名单，以及根据采购人委托直接确定中标人；</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24.1.5向采购人、采购代理机构或者有关部门报告评标中发现的违法行为。</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24.2评标委员会成员应当履行下列义务：</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24.2.1遵纪守法，客观、公正、廉洁地履行职责；</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24.2.2按照招标文件规定的评标办法和评标标准进行评标，对评审意见承担个人责任；</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24.2.3对评标过程和结果，以及投标人的商业秘密保密；</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24.2.4评标委员会根据全体评标成员签字的原始评标记录和评标结果编写评标报告。评标报告应当包括以下内容：</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（一）招标公告刊登的媒体名称、开标日期和地点；</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（二）投标人名单和评标委员会成员名单；</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（三）评标方法和标准；</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（四）开标记录和评标情况及说明，包括无效投标人名单及原因；</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（五）评标结果，确定的中标候选人名单或者经采购人委托直接确定的中标人；</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（六）其他需要说明的情况，包括评标过程中投标人根据评标委员会要求进行的澄清、说明或者补正，评标委员会成员的更换等。</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24.2.5配合相关部门的投诉处理工作；</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24.2.6配合招标采购单位答复投标供应商提出的质疑。</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25.评标内容的保密</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25.1公开开标后，直到宣布授予中标单位合同为止，凡属于审查、澄清、评价和比较投标的所有资料，有关授予合同的信息都不应向投标人或与评标无关的其他人泄露。</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25.2在投标文件的审查、澄清、评价和比较以及授予合同的过程中，投标人对招标采购单位和评标委员会成员施加影响的任何行为，都将取消其中标资格。</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26.对投标文件初审</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26.1评标委员会应当对符合资格的投标人的投标文件进行符合性审查，以确定其是否满足招标文件的实质性要求。</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投标文件有下列情况之一者评标委员会有权将其拒绝：</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26.1.1投标人的投标文件未按照本须知规定制作的；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26.1.2未按本须知规定提交资格文件；</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26.1.3与招标文件有重大偏离；</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26.1.4投标人拒绝修正错误；</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26.1.5投标人的报价是选择性的；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26.1.6投标人的报价只投了部分内容；</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26.1.7投标人的投标文件出现了评标委员会认为不应当雷同的情况；</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26.1.8其他被评委会认定无效的情况。</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26.2招标采购单位将允许修改投标中不构成重大偏离的微小的、非正规、不一致或不规则的地方，但这些修改不能影响任何投标人的名次相应排列。投</w:t>
      </w:r>
      <w:r>
        <w:rPr>
          <w:rFonts w:hint="eastAsia" w:ascii="宋体" w:hAnsi="宋体" w:eastAsia="宋体" w:cs="宋体"/>
          <w:bCs/>
          <w:color w:val="000000"/>
          <w:sz w:val="24"/>
          <w:szCs w:val="24"/>
        </w:rPr>
        <w:t xml:space="preserve">标人不得对招标文件进行实质性修改，包括但不限于付款方式、付款条件等条款，否则投标文件将被拒绝。</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26.3投标文件报价出现前后不一致的，除招标文件另有规定外，按照下列规定修正：</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（一）投标文件中开标一览表（报价表）内容与投标文件中相应内容不一致的，以开标一览表（报价表）为准；</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（二）大写金额和小写金额不一致的，以大写金额为准；</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（三）单价金额小数点或者百分比有明显错位的，以开标一览表的总价为准，并修改单价；</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（四）总价金额与按单价汇总金额不一致的，以单价金额计算结果为准。</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23"/>
        <w:ind w:firstLine="42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26.4</w:t>
      </w:r>
      <w:r>
        <w:rPr>
          <w:rFonts w:hint="eastAsia" w:ascii="宋体" w:hAnsi="宋体" w:eastAsia="宋体" w:cs="宋体"/>
          <w:sz w:val="24"/>
          <w:szCs w:val="24"/>
        </w:rPr>
        <w:t xml:space="preserve">关于落实</w:t>
      </w:r>
      <w:r>
        <w:rPr>
          <w:rFonts w:hint="eastAsia" w:ascii="宋体" w:hAnsi="宋体" w:eastAsia="宋体"/>
          <w:sz w:val="24"/>
          <w:szCs w:val="24"/>
        </w:rPr>
        <w:t xml:space="preserve">苏财购〔2025〕62号文件的要求</w:t>
      </w:r>
      <w:r/>
    </w:p>
    <w:p>
      <w:pPr>
        <w:ind w:firstLine="420"/>
        <w:spacing w:line="360" w:lineRule="auto"/>
        <w:rPr>
          <w:rFonts w:hint="eastAsia" w:ascii="宋体" w:hAnsi="宋体"/>
          <w:sz w:val="24"/>
        </w:rPr>
      </w:pPr>
      <w:r>
        <w:rPr>
          <w:rFonts w:hint="eastAsia" w:ascii="宋体" w:hAnsi="宋体"/>
          <w:sz w:val="24"/>
        </w:rPr>
        <w:t xml:space="preserve">根据苏财购〔2025〕62号文件要求，关于推动解决政府采购异常低价问题相关工作的通知，对异常低价响应进行审查：</w:t>
      </w:r>
      <w:r/>
    </w:p>
    <w:p>
      <w:pPr>
        <w:ind w:firstLine="420"/>
        <w:spacing w:line="360" w:lineRule="auto"/>
        <w:rPr>
          <w:rFonts w:hint="eastAsia" w:ascii="宋体" w:hAnsi="宋体"/>
          <w:sz w:val="24"/>
        </w:rPr>
      </w:pPr>
      <w:r>
        <w:rPr>
          <w:rFonts w:hint="eastAsia" w:ascii="宋体" w:hAnsi="宋体"/>
          <w:sz w:val="24"/>
        </w:rPr>
        <w:t xml:space="preserve">26.4.1</w:t>
      </w:r>
      <w:r>
        <w:rPr>
          <w:rFonts w:hint="eastAsia" w:ascii="宋体" w:hAnsi="宋体"/>
          <w:sz w:val="24"/>
        </w:rPr>
        <w:t xml:space="preserve">评审过程中出现下列情形之一的，评审委员会应当启动异常低价响应审查程序：</w:t>
      </w:r>
      <w:r/>
    </w:p>
    <w:p>
      <w:pPr>
        <w:ind w:firstLine="420"/>
        <w:spacing w:line="360" w:lineRule="auto"/>
        <w:rPr>
          <w:rFonts w:hint="eastAsia" w:ascii="宋体" w:hAnsi="宋体"/>
          <w:sz w:val="24"/>
        </w:rPr>
      </w:pPr>
      <w:r>
        <w:rPr>
          <w:rFonts w:hint="eastAsia" w:ascii="宋体" w:hAnsi="宋体"/>
          <w:sz w:val="24"/>
        </w:rPr>
        <w:t xml:space="preserve">A、响应报价低于采购项目预算 50%的，即响应报价&lt;采购项目预算×50%；</w:t>
      </w:r>
      <w:r/>
    </w:p>
    <w:p>
      <w:pPr>
        <w:ind w:firstLine="420"/>
        <w:spacing w:line="360" w:lineRule="auto"/>
        <w:rPr>
          <w:rFonts w:hint="eastAsia" w:ascii="宋体" w:hAnsi="宋体"/>
          <w:sz w:val="24"/>
        </w:rPr>
      </w:pPr>
      <w:r>
        <w:rPr>
          <w:rFonts w:hint="eastAsia" w:ascii="宋体" w:hAnsi="宋体"/>
          <w:sz w:val="24"/>
        </w:rPr>
        <w:t xml:space="preserve">B、响应报价低于采购项目最高限价45% 的，即响应报价&lt;采购项目最高限价×45%；</w:t>
      </w:r>
      <w:r/>
    </w:p>
    <w:p>
      <w:pPr>
        <w:ind w:firstLine="420"/>
        <w:spacing w:line="360" w:lineRule="auto"/>
        <w:rPr>
          <w:rFonts w:hint="eastAsia" w:ascii="宋体" w:hAnsi="宋体"/>
          <w:sz w:val="24"/>
        </w:rPr>
      </w:pPr>
      <w:r>
        <w:rPr>
          <w:rFonts w:hint="eastAsia" w:ascii="宋体" w:hAnsi="宋体"/>
          <w:sz w:val="24"/>
        </w:rPr>
        <w:t xml:space="preserve">C、评审委员会认定的供应商报价过低、有可能影响产品质量或者不能诚信履约的其他情形。</w:t>
      </w:r>
      <w:r/>
    </w:p>
    <w:p>
      <w:pPr>
        <w:ind w:firstLine="420"/>
        <w:spacing w:line="360" w:lineRule="auto"/>
        <w:rPr>
          <w:rFonts w:hint="eastAsia" w:ascii="宋体" w:hAnsi="宋体"/>
        </w:rPr>
      </w:pPr>
      <w:r>
        <w:rPr>
          <w:rFonts w:hint="eastAsia" w:ascii="宋体" w:hAnsi="宋体"/>
          <w:sz w:val="24"/>
        </w:rPr>
        <w:t xml:space="preserve">26.4.2</w:t>
      </w:r>
      <w:r>
        <w:rPr>
          <w:rFonts w:hint="eastAsia" w:ascii="宋体" w:hAnsi="宋体"/>
          <w:sz w:val="24"/>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w:t>
      </w:r>
      <w:r>
        <w:rPr>
          <w:rFonts w:hint="eastAsia" w:ascii="宋体" w:hAnsi="宋体"/>
          <w:sz w:val="24"/>
        </w:rPr>
        <w:t xml:space="preserve">明材料不能证明其报价合理性的，评审委员会应当将其作为无效响应处理。审查相关情况应当在评审报告中进行记录。</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26.5</w:t>
      </w:r>
      <w:r>
        <w:rPr>
          <w:rFonts w:hint="eastAsia" w:ascii="宋体" w:hAnsi="宋体" w:eastAsia="宋体" w:cs="宋体"/>
          <w:bCs/>
          <w:color w:val="000000"/>
          <w:sz w:val="24"/>
          <w:szCs w:val="24"/>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27.投标的澄清</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27.1对于投标文件中含义不明确、同类问题表述不一致或者有明显文字和计算错误的内容，评标委员会应当以书面形式要求投标人作出必要的澄清、说明或者补正。</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27.2投标人的澄清、说明或者补正应当采用书面形式，并加盖</w:t>
      </w:r>
      <w:r>
        <w:rPr>
          <w:rFonts w:hint="eastAsia" w:ascii="宋体" w:hAnsi="宋体" w:eastAsia="宋体" w:cs="宋体"/>
          <w:bCs/>
          <w:color w:val="000000"/>
          <w:sz w:val="24"/>
          <w:szCs w:val="24"/>
          <w:lang w:val="en-US"/>
        </w:rPr>
        <w:t xml:space="preserve">其单位电子</w:t>
      </w:r>
      <w:r>
        <w:rPr>
          <w:rFonts w:hint="eastAsia" w:ascii="宋体" w:hAnsi="宋体" w:eastAsia="宋体" w:cs="宋体"/>
          <w:bCs/>
          <w:color w:val="000000"/>
          <w:sz w:val="24"/>
          <w:szCs w:val="24"/>
        </w:rPr>
        <w:t xml:space="preserve">公章，或者由法定代表人/负责人或其授权的代表签字。投标人的澄清、说明或者补正不得超出投标文件的范围或者改变投标文件的实质性内容。</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28.投标无效</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28.1投标人存在下列情况之一的，投标无效：</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一</w:t>
      </w:r>
      <w:r>
        <w:rPr>
          <w:rFonts w:hint="eastAsia" w:ascii="宋体" w:hAnsi="宋体" w:eastAsia="宋体" w:cs="宋体"/>
          <w:bCs/>
          <w:color w:val="000000"/>
          <w:sz w:val="24"/>
          <w:szCs w:val="24"/>
        </w:rPr>
        <w:t xml:space="preserve">）投标文件未按招标文件要求签署、盖（</w:t>
      </w:r>
      <w:r>
        <w:rPr>
          <w:rFonts w:hint="eastAsia" w:ascii="宋体" w:hAnsi="宋体" w:eastAsia="宋体" w:cs="宋体"/>
          <w:bCs/>
          <w:color w:val="000000"/>
          <w:sz w:val="24"/>
          <w:szCs w:val="24"/>
          <w:lang w:val="en-US"/>
        </w:rPr>
        <w:t xml:space="preserve">签</w:t>
      </w:r>
      <w:r>
        <w:rPr>
          <w:rFonts w:hint="eastAsia" w:ascii="宋体" w:hAnsi="宋体" w:eastAsia="宋体" w:cs="宋体"/>
          <w:bCs/>
          <w:color w:val="000000"/>
          <w:sz w:val="24"/>
          <w:szCs w:val="24"/>
        </w:rPr>
        <w:t xml:space="preserve">）章的；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二</w:t>
      </w:r>
      <w:r>
        <w:rPr>
          <w:rFonts w:hint="eastAsia" w:ascii="宋体" w:hAnsi="宋体" w:eastAsia="宋体" w:cs="宋体"/>
          <w:bCs/>
          <w:color w:val="000000"/>
          <w:sz w:val="24"/>
          <w:szCs w:val="24"/>
        </w:rPr>
        <w:t xml:space="preserve">）不具备招标文件中规定的资格要求的；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三</w:t>
      </w:r>
      <w:r>
        <w:rPr>
          <w:rFonts w:hint="eastAsia" w:ascii="宋体" w:hAnsi="宋体" w:eastAsia="宋体" w:cs="宋体"/>
          <w:bCs/>
          <w:color w:val="000000"/>
          <w:sz w:val="24"/>
          <w:szCs w:val="24"/>
        </w:rPr>
        <w:t xml:space="preserve">）报价超过招标文件中规定的预算金额或者最高限价的；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四</w:t>
      </w:r>
      <w:r>
        <w:rPr>
          <w:rFonts w:hint="eastAsia" w:ascii="宋体" w:hAnsi="宋体" w:eastAsia="宋体" w:cs="宋体"/>
          <w:bCs/>
          <w:color w:val="000000"/>
          <w:sz w:val="24"/>
          <w:szCs w:val="24"/>
        </w:rPr>
        <w:t xml:space="preserve">）投标文件含有采购人不能接受的附加条件的；</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（五）机器码检查中，不同投标人使用同一台电脑编制投标文件的；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rPr>
        <w:t xml:space="preserve">六</w:t>
      </w:r>
      <w:r>
        <w:rPr>
          <w:rFonts w:hint="eastAsia" w:ascii="宋体" w:hAnsi="宋体" w:eastAsia="宋体" w:cs="宋体"/>
          <w:bCs/>
          <w:color w:val="000000"/>
          <w:sz w:val="24"/>
          <w:szCs w:val="24"/>
        </w:rPr>
        <w:t xml:space="preserve">）法律、法规和招标文件规定的其他无效情形。</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28.2投标人应当遵循公平竞争的原则，不得恶意串通，不得妨碍其他投标人的竞争行为，不得损害采购人或者其他投标人的合法权益。</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在评标过程中发现投标人有上述情形的，评标委员会应当认定其投标无效，并书面报告本级财政部门。</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28.3有下列情形之一的，视为投标人串通投标，其投标无效：</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（一）不同投标人的投标文件由同一单位或者个人编制；</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（二）不同投标人委托同一单位或者个人办理投标事宜；</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（三）不同投标人的投标文件载明的项目管理成员或者联系人员为同一人；</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（四）不同投标人的投标文件异常一致或者投标报价呈规律性差异；</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29.废标</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29.1在招标过程中，出现下列情况之一的，应予废标：</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29.1.1符合专业条件的供应商或者对招标文件作实质投标的</w:t>
      </w:r>
      <w:r>
        <w:rPr>
          <w:rFonts w:hint="eastAsia" w:ascii="宋体" w:hAnsi="宋体" w:eastAsia="宋体" w:cs="宋体"/>
          <w:bCs/>
          <w:color w:val="000000"/>
          <w:sz w:val="24"/>
          <w:szCs w:val="24"/>
          <w:lang w:val="en-US"/>
        </w:rPr>
        <w:t xml:space="preserve">各标段</w:t>
      </w:r>
      <w:r>
        <w:rPr>
          <w:rFonts w:hint="eastAsia" w:ascii="宋体" w:hAnsi="宋体" w:eastAsia="宋体" w:cs="宋体"/>
          <w:bCs/>
          <w:color w:val="000000"/>
          <w:sz w:val="24"/>
          <w:szCs w:val="24"/>
        </w:rPr>
        <w:t xml:space="preserve">供应商不足</w:t>
      </w:r>
      <w:r>
        <w:rPr>
          <w:rFonts w:hint="eastAsia" w:ascii="宋体" w:hAnsi="宋体" w:eastAsia="宋体" w:cs="宋体"/>
          <w:bCs/>
          <w:color w:val="000000"/>
          <w:sz w:val="24"/>
          <w:szCs w:val="24"/>
          <w:lang w:val="en-US"/>
        </w:rPr>
        <w:t xml:space="preserve">三</w:t>
      </w:r>
      <w:r>
        <w:rPr>
          <w:rFonts w:hint="eastAsia" w:ascii="宋体" w:hAnsi="宋体" w:eastAsia="宋体" w:cs="宋体"/>
          <w:bCs/>
          <w:color w:val="000000"/>
          <w:sz w:val="24"/>
          <w:szCs w:val="24"/>
        </w:rPr>
        <w:t xml:space="preserve">家的；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29.1.2出现影响采购公正的违法、违规行为的；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29.1.3投标人的报价均超过了采购预算，采购人不能支付的；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rPr>
        <w:t xml:space="preserve">9</w:t>
      </w:r>
      <w:r>
        <w:rPr>
          <w:rFonts w:hint="eastAsia" w:ascii="宋体" w:hAnsi="宋体" w:eastAsia="宋体" w:cs="宋体"/>
          <w:bCs/>
          <w:color w:val="000000"/>
          <w:sz w:val="24"/>
          <w:szCs w:val="24"/>
        </w:rPr>
        <w:t xml:space="preserve">.1.4因重大变故，采购任务取消的；</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29.2废标后，招标采购单位将把废标的理由通知所有投标人。</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30.投标文件的评价和比较</w:t>
      </w:r>
      <w:r/>
    </w:p>
    <w:p>
      <w:pPr>
        <w:ind w:firstLine="420"/>
        <w:spacing w:line="360" w:lineRule="auto"/>
        <w:rPr>
          <w:rFonts w:hint="eastAsia" w:ascii="宋体" w:hAnsi="宋体" w:cs="宋体"/>
          <w:bCs/>
          <w:color w:val="000000"/>
          <w:sz w:val="24"/>
        </w:rPr>
      </w:pPr>
      <w:r>
        <w:rPr>
          <w:rFonts w:hint="eastAsia" w:ascii="宋体" w:hAnsi="宋体" w:cs="宋体"/>
          <w:bCs/>
          <w:color w:val="000000"/>
          <w:sz w:val="24"/>
          <w:lang w:val="zh-CN"/>
        </w:rPr>
        <w:t xml:space="preserve">30.1评标办法采用综合评分法。</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30.</w:t>
      </w:r>
      <w:r>
        <w:rPr>
          <w:rFonts w:hint="eastAsia" w:ascii="宋体" w:hAnsi="宋体" w:eastAsia="宋体" w:cs="宋体"/>
          <w:bCs/>
          <w:color w:val="000000"/>
          <w:sz w:val="24"/>
          <w:szCs w:val="24"/>
          <w:lang w:val="en-US"/>
        </w:rPr>
        <w:t xml:space="preserve">2</w:t>
      </w:r>
      <w:r>
        <w:rPr>
          <w:rFonts w:hint="eastAsia" w:ascii="宋体" w:hAnsi="宋体" w:eastAsia="宋体" w:cs="宋体"/>
          <w:bCs/>
          <w:color w:val="000000"/>
          <w:sz w:val="24"/>
          <w:szCs w:val="24"/>
        </w:rPr>
        <w:t xml:space="preserve">最低的投标报价或最高的</w:t>
      </w:r>
      <w:r>
        <w:rPr>
          <w:rFonts w:hint="eastAsia" w:ascii="宋体" w:hAnsi="宋体" w:eastAsia="宋体" w:cs="宋体"/>
          <w:bCs/>
          <w:color w:val="000000"/>
          <w:sz w:val="24"/>
          <w:szCs w:val="24"/>
          <w:lang w:val="en-US"/>
        </w:rPr>
        <w:t xml:space="preserve">优惠</w:t>
      </w:r>
      <w:r>
        <w:rPr>
          <w:rFonts w:hint="eastAsia" w:ascii="宋体" w:hAnsi="宋体" w:eastAsia="宋体" w:cs="宋体"/>
          <w:bCs/>
          <w:color w:val="000000"/>
          <w:sz w:val="24"/>
          <w:szCs w:val="24"/>
        </w:rPr>
        <w:t xml:space="preserve">比例是中标的重要条件，但不是唯一条件。</w:t>
      </w:r>
      <w:bookmarkStart w:id="49" w:name="_Toc18442"/>
      <w:r/>
      <w:bookmarkStart w:id="50" w:name="_Toc19501"/>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七、授予合同</w:t>
      </w:r>
      <w:bookmarkEnd w:id="49"/>
      <w:r/>
      <w:bookmarkEnd w:id="50"/>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31.中标单位的确认</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31.1评标委员会根据投标人资格审查情况，对投标文件进行评价和比较，按照评标办法和标准进行评标，并按招标采购单位的委托向招标采购单位推荐中标单位。</w:t>
      </w:r>
      <w:r/>
    </w:p>
    <w:p>
      <w:pPr>
        <w:pStyle w:val="1023"/>
        <w:ind w:firstLine="420"/>
        <w:spacing w:line="360" w:lineRule="auto"/>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31.2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32.合同授予标准</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招标采购单位将把合同授予其投标文件在实质上响应投标招标文件要求且按本须知规定评选出的投标人。确定为中标的投标人必须具有实施本合同的能力和资源。</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33.中标通知书</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对未通过资格审查的供应商，应当告知其未通过的原因；未</w:t>
      </w:r>
      <w:r>
        <w:rPr>
          <w:rFonts w:hint="eastAsia" w:ascii="宋体" w:hAnsi="宋体" w:eastAsia="宋体" w:cs="宋体"/>
          <w:bCs/>
          <w:color w:val="000000"/>
          <w:sz w:val="24"/>
          <w:szCs w:val="24"/>
          <w:lang w:val="en-US"/>
        </w:rPr>
        <w:t xml:space="preserve">中标</w:t>
      </w:r>
      <w:r>
        <w:rPr>
          <w:rFonts w:hint="eastAsia" w:ascii="宋体" w:hAnsi="宋体" w:eastAsia="宋体" w:cs="宋体"/>
          <w:bCs/>
          <w:color w:val="000000"/>
          <w:sz w:val="24"/>
          <w:szCs w:val="24"/>
        </w:rPr>
        <w:t xml:space="preserve">供应商须在</w:t>
      </w:r>
      <w:r>
        <w:rPr>
          <w:rFonts w:hint="eastAsia" w:ascii="宋体" w:hAnsi="宋体" w:eastAsia="宋体" w:cs="宋体"/>
          <w:bCs/>
          <w:color w:val="000000"/>
          <w:sz w:val="24"/>
          <w:szCs w:val="24"/>
          <w:lang w:val="en-US"/>
        </w:rPr>
        <w:t xml:space="preserve">中标</w:t>
      </w:r>
      <w:r>
        <w:rPr>
          <w:rFonts w:hint="eastAsia" w:ascii="宋体" w:hAnsi="宋体" w:eastAsia="宋体" w:cs="宋体"/>
          <w:bCs/>
          <w:color w:val="000000"/>
          <w:sz w:val="24"/>
          <w:szCs w:val="24"/>
        </w:rPr>
        <w:t xml:space="preserve">公告发出之日起2个工作日内向采购代理机构另行提供用以接收《未</w:t>
      </w:r>
      <w:r>
        <w:rPr>
          <w:rFonts w:hint="eastAsia" w:ascii="宋体" w:hAnsi="宋体" w:eastAsia="宋体" w:cs="宋体"/>
          <w:bCs/>
          <w:color w:val="000000"/>
          <w:sz w:val="24"/>
          <w:szCs w:val="24"/>
          <w:lang w:val="en-US"/>
        </w:rPr>
        <w:t xml:space="preserve">中标</w:t>
      </w:r>
      <w:r>
        <w:rPr>
          <w:rFonts w:hint="eastAsia" w:ascii="宋体" w:hAnsi="宋体" w:eastAsia="宋体" w:cs="宋体"/>
          <w:bCs/>
          <w:color w:val="000000"/>
          <w:sz w:val="24"/>
          <w:szCs w:val="24"/>
        </w:rPr>
        <w:t xml:space="preserve">通知书》的电子邮件地址，未按时提供电子邮件地址或提供信息有误的，视为自动放弃并自行承担相应后果。</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33.2中标通知书将成为合同的组成部分，对采购人和中标人具有同等法律效力。</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val="en-US"/>
        </w:rPr>
        <w:t xml:space="preserve">3</w:t>
      </w:r>
      <w:r>
        <w:rPr>
          <w:rFonts w:hint="eastAsia" w:ascii="宋体" w:hAnsi="宋体" w:eastAsia="宋体" w:cs="宋体"/>
          <w:bCs/>
          <w:color w:val="000000"/>
          <w:sz w:val="24"/>
          <w:szCs w:val="24"/>
        </w:rPr>
        <w:t xml:space="preserve">.3中标通知书发出后，采购人不得违法改变中标结果，中标人无正当理由不得放弃中标。</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34.合同的签订</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最长不得超过三十日。</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34.2</w:t>
      </w:r>
      <w:r>
        <w:rPr>
          <w:rFonts w:hint="eastAsia" w:ascii="宋体" w:hAnsi="宋体" w:eastAsia="宋体" w:cs="宋体"/>
          <w:bCs/>
          <w:color w:val="000000"/>
          <w:sz w:val="24"/>
          <w:szCs w:val="24"/>
          <w:lang w:val="en-US"/>
        </w:rPr>
        <w:t xml:space="preserve">采购人与中标人所签订的合同不得对招标文件确定的事项和中标人投标文件作实质性修改，采购人不得向中标人提出任何不合理的要求作为签订合同的条件。</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34.3招标文件、中标人的投标文件及招标过程中有关澄清、承诺文件均应作为合同附件。</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hint="eastAsia" w:ascii="宋体" w:hAnsi="宋体" w:cs="宋体"/>
          <w:bCs/>
          <w:color w:val="000000"/>
          <w:sz w:val="24"/>
        </w:rPr>
      </w:pPr>
      <w:r/>
      <w:bookmarkStart w:id="51" w:name="_Toc21029"/>
      <w:r/>
      <w:bookmarkStart w:id="52" w:name="_Toc8186"/>
      <w:r>
        <w:rPr>
          <w:rFonts w:hint="eastAsia" w:ascii="宋体" w:hAnsi="宋体" w:cs="宋体"/>
          <w:bCs/>
          <w:color w:val="000000"/>
          <w:sz w:val="24"/>
        </w:rPr>
        <w:t xml:space="preserve">八、其他事项</w:t>
      </w:r>
      <w:bookmarkEnd w:id="51"/>
      <w:r/>
      <w:bookmarkEnd w:id="52"/>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35.代理服务费： </w:t>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预算金额100万以下费率按预算金额的1.5%，</w:t>
      </w:r>
      <w:r>
        <w:rPr>
          <w:rFonts w:hint="eastAsia" w:ascii="宋体" w:hAnsi="宋体" w:cs="宋体"/>
          <w:bCs/>
          <w:color w:val="000000"/>
          <w:sz w:val="24"/>
        </w:rPr>
        <w:t xml:space="preserve">预算金额100万-500万</w:t>
      </w:r>
      <w:r>
        <w:rPr>
          <w:rFonts w:hint="eastAsia" w:ascii="宋体" w:hAnsi="宋体" w:cs="宋体"/>
          <w:bCs/>
          <w:color w:val="000000"/>
          <w:sz w:val="24"/>
          <w:lang w:val="zh-CN"/>
        </w:rPr>
        <w:t xml:space="preserve">费率按预算金额的1.</w:t>
      </w:r>
      <w:r>
        <w:rPr>
          <w:rFonts w:hint="eastAsia" w:ascii="宋体" w:hAnsi="宋体" w:cs="宋体"/>
          <w:bCs/>
          <w:color w:val="000000"/>
          <w:sz w:val="24"/>
        </w:rPr>
        <w:t xml:space="preserve">1</w:t>
      </w:r>
      <w:r>
        <w:rPr>
          <w:rFonts w:hint="eastAsia" w:ascii="宋体" w:hAnsi="宋体" w:cs="宋体"/>
          <w:bCs/>
          <w:color w:val="000000"/>
          <w:sz w:val="24"/>
          <w:lang w:val="zh-CN"/>
        </w:rPr>
        <w:t xml:space="preserve">%，</w:t>
      </w:r>
      <w:r>
        <w:rPr>
          <w:rFonts w:hint="eastAsia" w:ascii="宋体" w:hAnsi="宋体" w:cs="宋体"/>
          <w:bCs/>
          <w:color w:val="000000"/>
          <w:sz w:val="24"/>
        </w:rPr>
        <w:t xml:space="preserve">预算金额500万-1000万</w:t>
      </w:r>
      <w:r>
        <w:rPr>
          <w:rFonts w:hint="eastAsia" w:ascii="宋体" w:hAnsi="宋体" w:cs="宋体"/>
          <w:bCs/>
          <w:color w:val="000000"/>
          <w:sz w:val="24"/>
          <w:lang w:val="zh-CN"/>
        </w:rPr>
        <w:t xml:space="preserve">费率按预算金额的</w:t>
      </w:r>
      <w:r>
        <w:rPr>
          <w:rFonts w:hint="eastAsia" w:ascii="宋体" w:hAnsi="宋体" w:cs="宋体"/>
          <w:bCs/>
          <w:color w:val="000000"/>
          <w:sz w:val="24"/>
        </w:rPr>
        <w:t xml:space="preserve">0.8</w:t>
      </w:r>
      <w:r>
        <w:rPr>
          <w:rFonts w:hint="eastAsia" w:ascii="宋体" w:hAnsi="宋体" w:cs="宋体"/>
          <w:bCs/>
          <w:color w:val="000000"/>
          <w:sz w:val="24"/>
          <w:lang w:val="zh-CN"/>
        </w:rPr>
        <w:t xml:space="preserve">%，</w:t>
      </w:r>
      <w:r>
        <w:rPr>
          <w:rFonts w:hint="eastAsia" w:ascii="宋体" w:hAnsi="宋体" w:cs="宋体"/>
          <w:bCs/>
          <w:color w:val="000000"/>
          <w:sz w:val="24"/>
        </w:rPr>
        <w:t xml:space="preserve">预算金额1000万-5000万</w:t>
      </w:r>
      <w:r>
        <w:rPr>
          <w:rFonts w:hint="eastAsia" w:ascii="宋体" w:hAnsi="宋体" w:cs="宋体"/>
          <w:bCs/>
          <w:color w:val="000000"/>
          <w:sz w:val="24"/>
          <w:lang w:val="zh-CN"/>
        </w:rPr>
        <w:t xml:space="preserve">费率按预算金额的0.5%。（最低不低于4000元）。领取中标通知书时中标人向招标代理机构一次性付清。</w:t>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本项目代理服务费为：</w:t>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第一标段：人民币（¥</w:t>
      </w:r>
      <w:r>
        <w:rPr>
          <w:rFonts w:ascii="宋体" w:hAnsi="宋体" w:cs="宋体"/>
          <w:bCs/>
          <w:color w:val="000000"/>
          <w:sz w:val="24"/>
          <w:lang w:val="zh-CN"/>
        </w:rPr>
        <w:t xml:space="preserve">108046</w:t>
      </w:r>
      <w:r>
        <w:rPr>
          <w:rFonts w:hint="eastAsia" w:ascii="宋体" w:hAnsi="宋体" w:cs="宋体"/>
          <w:bCs/>
          <w:color w:val="000000"/>
          <w:sz w:val="24"/>
          <w:lang w:val="zh-CN"/>
        </w:rPr>
        <w:t xml:space="preserve">.00</w:t>
      </w:r>
      <w:r>
        <w:rPr>
          <w:rFonts w:hint="eastAsia" w:ascii="宋体" w:hAnsi="宋体" w:cs="宋体"/>
          <w:bCs/>
          <w:color w:val="000000"/>
          <w:sz w:val="24"/>
          <w:lang w:val="zh-CN"/>
        </w:rPr>
        <w:t xml:space="preserve">元）</w:t>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第二标段：人民币（¥</w:t>
      </w:r>
      <w:r>
        <w:rPr>
          <w:rFonts w:ascii="宋体" w:hAnsi="宋体" w:cs="宋体"/>
          <w:bCs/>
          <w:color w:val="000000"/>
          <w:sz w:val="24"/>
          <w:lang w:val="zh-CN"/>
        </w:rPr>
        <w:t xml:space="preserve">112347.62</w:t>
      </w:r>
      <w:r>
        <w:rPr>
          <w:rFonts w:hint="eastAsia" w:ascii="宋体" w:hAnsi="宋体" w:cs="宋体"/>
          <w:bCs/>
          <w:color w:val="000000"/>
          <w:sz w:val="24"/>
          <w:lang w:val="zh-CN"/>
        </w:rPr>
        <w:t xml:space="preserve">元）</w:t>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第三标段：人民币（¥</w:t>
      </w:r>
      <w:r>
        <w:rPr>
          <w:rFonts w:ascii="宋体" w:hAnsi="宋体" w:cs="宋体"/>
          <w:bCs/>
          <w:color w:val="000000"/>
          <w:sz w:val="24"/>
          <w:lang w:val="zh-CN"/>
        </w:rPr>
        <w:t xml:space="preserve">117606.38</w:t>
      </w:r>
      <w:r>
        <w:rPr>
          <w:rFonts w:hint="eastAsia" w:ascii="宋体" w:hAnsi="宋体" w:cs="宋体"/>
          <w:bCs/>
          <w:color w:val="000000"/>
          <w:sz w:val="24"/>
          <w:lang w:val="zh-CN"/>
        </w:rPr>
        <w:t xml:space="preserve">元）</w:t>
      </w:r>
      <w:r/>
    </w:p>
    <w:p>
      <w:pPr>
        <w:ind w:firstLine="420"/>
        <w:spacing w:line="360" w:lineRule="auto"/>
        <w:tabs>
          <w:tab w:val="left" w:pos="8930" w:leader="none"/>
          <w:tab w:val="left" w:pos="9306" w:leader="none"/>
        </w:tabs>
        <w:rPr>
          <w:rFonts w:hint="eastAsia" w:ascii="宋体" w:hAnsi="宋体"/>
          <w:color w:val="000000"/>
          <w:sz w:val="24"/>
          <w:lang w:val="zh-CN"/>
        </w:rPr>
      </w:pPr>
      <w:r>
        <w:rPr>
          <w:rFonts w:ascii="宋体" w:hAnsi="宋体"/>
          <w:color w:val="000000"/>
          <w:sz w:val="24"/>
          <w:lang w:val="zh-CN"/>
        </w:rPr>
        <w:t xml:space="preserve">收款</w:t>
      </w:r>
      <w:r>
        <w:rPr>
          <w:rFonts w:hint="eastAsia" w:ascii="宋体" w:hAnsi="宋体"/>
          <w:color w:val="000000"/>
          <w:sz w:val="24"/>
          <w:lang w:val="zh-CN"/>
        </w:rPr>
        <w:t xml:space="preserve">信息：苏州铖溢林建设工程管理有限公司高新区分公司</w:t>
      </w:r>
      <w:r/>
    </w:p>
    <w:p>
      <w:pPr>
        <w:ind w:firstLine="420"/>
        <w:spacing w:line="360" w:lineRule="auto"/>
        <w:tabs>
          <w:tab w:val="left" w:pos="8930" w:leader="none"/>
          <w:tab w:val="left" w:pos="9306" w:leader="none"/>
        </w:tabs>
        <w:rPr>
          <w:rFonts w:hint="eastAsia" w:ascii="宋体" w:hAnsi="宋体"/>
          <w:color w:val="000000"/>
          <w:sz w:val="24"/>
          <w:lang w:val="zh-CN"/>
        </w:rPr>
      </w:pPr>
      <w:r>
        <w:rPr>
          <w:rFonts w:hint="eastAsia" w:ascii="宋体" w:hAnsi="宋体"/>
          <w:color w:val="000000"/>
          <w:sz w:val="24"/>
          <w:lang w:val="zh-CN"/>
        </w:rPr>
        <w:t xml:space="preserve">开户银行名称：中国农业银行股份有限公司长桥支行</w:t>
      </w:r>
      <w:r/>
    </w:p>
    <w:p>
      <w:pPr>
        <w:ind w:firstLine="480"/>
        <w:spacing w:line="360" w:lineRule="auto"/>
        <w:rPr>
          <w:rFonts w:hint="eastAsia" w:ascii="宋体" w:hAnsi="宋体"/>
          <w:color w:val="000000"/>
          <w:sz w:val="24"/>
        </w:rPr>
      </w:pPr>
      <w:r>
        <w:rPr>
          <w:rFonts w:hint="eastAsia" w:ascii="宋体" w:hAnsi="宋体"/>
          <w:color w:val="000000"/>
          <w:sz w:val="24"/>
          <w:lang w:val="zh-CN"/>
        </w:rPr>
        <w:t xml:space="preserve">银行账号：</w:t>
      </w:r>
      <w:r>
        <w:rPr>
          <w:rFonts w:ascii="宋体" w:hAnsi="宋体"/>
          <w:color w:val="000000"/>
          <w:sz w:val="24"/>
          <w:lang w:val="zh-CN"/>
        </w:rPr>
        <w:t xml:space="preserve"> </w:t>
      </w:r>
      <w:r>
        <w:rPr>
          <w:rFonts w:hint="eastAsia" w:ascii="宋体" w:hAnsi="宋体"/>
          <w:color w:val="000000"/>
          <w:sz w:val="24"/>
          <w:lang w:val="zh-CN"/>
        </w:rPr>
        <w:t xml:space="preserve">10</w:t>
      </w:r>
      <w:r>
        <w:rPr>
          <w:rFonts w:ascii="宋体" w:hAnsi="宋体"/>
          <w:color w:val="000000"/>
          <w:sz w:val="24"/>
          <w:lang w:val="zh-CN"/>
        </w:rPr>
        <w:t xml:space="preserve">539501040041789</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36.有关监督部门将对招投标全过程进行监督。</w:t>
      </w:r>
      <w:r/>
    </w:p>
    <w:p>
      <w:pPr>
        <w:pStyle w:val="1023"/>
        <w:ind w:firstLine="42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37.未尽事宜：按《中华人民共和国政府采购法》及其他有关的法律法规的规定执行。</w:t>
      </w:r>
      <w:r/>
    </w:p>
    <w:p>
      <w:pPr>
        <w:jc w:val="center"/>
        <w:spacing w:line="360" w:lineRule="auto"/>
        <w:rPr>
          <w:rFonts w:hint="eastAsia" w:ascii="宋体" w:hAnsi="宋体" w:cs="宋体"/>
          <w:bCs/>
          <w:color w:val="000000"/>
          <w:sz w:val="24"/>
        </w:rPr>
      </w:pPr>
      <w:r>
        <w:rPr>
          <w:rFonts w:hint="eastAsia" w:ascii="宋体" w:hAnsi="宋体" w:cs="宋体"/>
          <w:bCs/>
          <w:color w:val="000000"/>
          <w:sz w:val="24"/>
        </w:rPr>
        <w:br w:type="page" w:clear="all"/>
      </w:r>
      <w:r>
        <w:rPr>
          <w:rFonts w:hint="eastAsia" w:ascii="宋体" w:hAnsi="宋体" w:cs="宋体"/>
          <w:bCs/>
          <w:color w:val="000000"/>
          <w:sz w:val="24"/>
        </w:rPr>
        <w:t xml:space="preserve">第三章 投标文件格式</w:t>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说明：</w:t>
      </w:r>
      <w:r/>
    </w:p>
    <w:p>
      <w:pPr>
        <w:pStyle w:val="1023"/>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pStyle w:val="739"/>
        <w:ind w:firstLine="0"/>
        <w:spacing w:line="360" w:lineRule="auto"/>
        <w:rPr>
          <w:rFonts w:hint="eastAsia" w:ascii="宋体" w:hAnsi="宋体" w:eastAsia="宋体" w:cs="宋体"/>
          <w:bCs/>
          <w:color w:val="000000"/>
          <w:szCs w:val="24"/>
        </w:rPr>
      </w:pPr>
      <w:r/>
      <w:bookmarkStart w:id="53" w:name="_Toc17036"/>
      <w:r/>
      <w:bookmarkStart w:id="54" w:name="_Toc71810480"/>
      <w:r/>
      <w:bookmarkStart w:id="55" w:name="_Toc3821"/>
      <w:r/>
      <w:r/>
    </w:p>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br w:type="page" w:clear="all"/>
      </w:r>
      <w:bookmarkStart w:id="56" w:name="_Toc387680431"/>
      <w:r/>
      <w:bookmarkEnd w:id="53"/>
      <w:r/>
      <w:bookmarkEnd w:id="54"/>
      <w:r/>
      <w:bookmarkEnd w:id="55"/>
      <w:r>
        <w:rPr>
          <w:rFonts w:hint="eastAsia" w:ascii="宋体" w:hAnsi="宋体" w:eastAsia="宋体" w:cs="宋体"/>
          <w:bCs/>
          <w:color w:val="000000"/>
          <w:szCs w:val="24"/>
        </w:rPr>
        <w:t xml:space="preserve">格式1、投标函</w:t>
      </w:r>
      <w:bookmarkEnd w:id="56"/>
      <w:r/>
      <w:r/>
    </w:p>
    <w:p>
      <w:pPr>
        <w:pStyle w:val="1037"/>
        <w:jc w:val="center"/>
        <w:spacing w:line="360" w:lineRule="auto"/>
        <w:rPr>
          <w:rFonts w:hAnsi="宋体" w:eastAsia="宋体" w:cs="宋体"/>
          <w:bCs/>
          <w:color w:val="000000"/>
          <w:sz w:val="24"/>
          <w:szCs w:val="24"/>
        </w:rPr>
      </w:pPr>
      <w:r>
        <w:rPr>
          <w:rFonts w:hAnsi="宋体" w:eastAsia="宋体" w:cs="宋体"/>
          <w:bCs/>
          <w:color w:val="000000"/>
          <w:sz w:val="24"/>
          <w:szCs w:val="24"/>
        </w:rPr>
        <w:t xml:space="preserve">投标函</w:t>
      </w:r>
      <w:r/>
    </w:p>
    <w:p>
      <w:pPr>
        <w:pStyle w:val="1037"/>
        <w:spacing w:line="360" w:lineRule="auto"/>
        <w:rPr>
          <w:rFonts w:hAnsi="宋体" w:eastAsia="宋体" w:cs="宋体"/>
          <w:bCs/>
          <w:color w:val="000000"/>
          <w:sz w:val="24"/>
          <w:szCs w:val="24"/>
        </w:rPr>
      </w:pPr>
      <w:r>
        <w:rPr>
          <w:rFonts w:hAnsi="宋体" w:eastAsia="宋体" w:cs="宋体"/>
          <w:bCs/>
          <w:color w:val="000000"/>
          <w:sz w:val="24"/>
          <w:szCs w:val="24"/>
        </w:rPr>
        <w:t xml:space="preserve">苏州铖溢林建设工程管理有限公司 ：</w:t>
      </w:r>
      <w:r/>
    </w:p>
    <w:p>
      <w:pPr>
        <w:pStyle w:val="1037"/>
        <w:ind w:firstLine="480"/>
        <w:spacing w:line="360" w:lineRule="auto"/>
        <w:rPr>
          <w:rFonts w:hAnsi="宋体" w:eastAsia="宋体"/>
          <w:bCs/>
          <w:sz w:val="24"/>
          <w:szCs w:val="24"/>
        </w:rPr>
      </w:pPr>
      <w:r>
        <w:rPr>
          <w:rFonts w:hint="default" w:hAnsi="宋体" w:eastAsia="宋体"/>
          <w:bCs/>
          <w:sz w:val="24"/>
          <w:szCs w:val="24"/>
        </w:rPr>
        <w:t xml:space="preserve">我们收到贵公司</w:t>
      </w:r>
      <w:r>
        <w:rPr>
          <w:rFonts w:hint="default" w:hAnsi="宋体" w:eastAsia="宋体"/>
          <w:bCs/>
          <w:sz w:val="24"/>
          <w:szCs w:val="24"/>
          <w:u w:val="single"/>
        </w:rPr>
        <w:t xml:space="preserve">            </w:t>
      </w:r>
      <w:r>
        <w:rPr>
          <w:rFonts w:hint="default" w:hAnsi="宋体" w:eastAsia="宋体"/>
          <w:bCs/>
          <w:sz w:val="24"/>
          <w:szCs w:val="24"/>
        </w:rPr>
        <w:t xml:space="preserve">号招标文件，</w:t>
      </w:r>
      <w:r>
        <w:rPr>
          <w:rFonts w:hAnsi="宋体" w:eastAsia="宋体"/>
          <w:bCs/>
          <w:sz w:val="24"/>
          <w:szCs w:val="24"/>
        </w:rPr>
        <w:t xml:space="preserve">我公司认为本项目的招标坚持了公开、公平、公正的原则，</w:t>
      </w:r>
      <w:r>
        <w:rPr>
          <w:rFonts w:hint="default" w:hAnsi="宋体" w:eastAsia="宋体"/>
          <w:bCs/>
          <w:sz w:val="24"/>
          <w:szCs w:val="24"/>
        </w:rPr>
        <w:t xml:space="preserve">经仔细阅读和研究，我们决定参加</w:t>
      </w:r>
      <w:r>
        <w:rPr>
          <w:rFonts w:hAnsi="宋体" w:eastAsia="宋体"/>
          <w:bCs/>
          <w:sz w:val="24"/>
          <w:szCs w:val="24"/>
        </w:rPr>
        <w:t xml:space="preserve">本项目</w:t>
      </w:r>
      <w:r>
        <w:rPr>
          <w:rFonts w:hint="default" w:hAnsi="宋体" w:eastAsia="宋体"/>
          <w:bCs/>
          <w:sz w:val="24"/>
          <w:szCs w:val="24"/>
        </w:rPr>
        <w:t xml:space="preserve">投标。</w:t>
      </w:r>
      <w:r/>
    </w:p>
    <w:p>
      <w:pPr>
        <w:ind w:firstLine="480"/>
        <w:spacing w:line="36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我方愿意按照招标文件的一切要求，提供本项目的所有内容，我方投标的报价包括完成本项工作所需的一切应有费用。</w:t>
      </w:r>
      <w:r/>
    </w:p>
    <w:p>
      <w:pPr>
        <w:ind w:firstLine="480"/>
        <w:spacing w:line="360" w:lineRule="auto"/>
        <w:rPr>
          <w:rFonts w:hint="eastAsia" w:ascii="宋体" w:hAnsi="宋体"/>
          <w:bCs/>
          <w:sz w:val="24"/>
        </w:rPr>
      </w:pPr>
      <w:r>
        <w:rPr>
          <w:rFonts w:hint="eastAsia" w:ascii="宋体" w:hAnsi="宋体"/>
          <w:bCs/>
          <w:sz w:val="24"/>
        </w:rPr>
        <w:t xml:space="preserve">2</w:t>
      </w:r>
      <w:r>
        <w:rPr>
          <w:rFonts w:ascii="宋体" w:hAnsi="宋体"/>
          <w:bCs/>
          <w:sz w:val="24"/>
        </w:rPr>
        <w:t xml:space="preserve">、如果我们的投标书被接受，我们将严格履行招标文件中规定的每一项要求，严格履行合同的责任和义务，保证按期、按质履行合同</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3、</w:t>
      </w:r>
      <w:r>
        <w:rPr>
          <w:rFonts w:ascii="宋体" w:hAnsi="宋体"/>
          <w:bCs/>
          <w:sz w:val="24"/>
        </w:rPr>
        <w:t xml:space="preserve">我们同意按招标文件中的规定，本投标书的有效期限为开标后</w:t>
      </w:r>
      <w:r>
        <w:rPr>
          <w:rFonts w:hint="eastAsia" w:ascii="宋体" w:hAnsi="宋体"/>
          <w:bCs/>
          <w:sz w:val="24"/>
          <w:u w:val="single"/>
        </w:rPr>
        <w:t xml:space="preserve">    </w:t>
      </w:r>
      <w:r>
        <w:rPr>
          <w:rFonts w:ascii="宋体" w:hAnsi="宋体"/>
          <w:bCs/>
          <w:sz w:val="24"/>
        </w:rPr>
        <w:t xml:space="preserve">日。</w:t>
      </w:r>
      <w:r/>
    </w:p>
    <w:p>
      <w:pPr>
        <w:pStyle w:val="1037"/>
        <w:ind w:firstLine="480"/>
        <w:spacing w:line="360" w:lineRule="auto"/>
        <w:rPr>
          <w:rFonts w:hAnsi="宋体" w:eastAsia="宋体"/>
          <w:bCs/>
          <w:sz w:val="24"/>
          <w:szCs w:val="24"/>
        </w:rPr>
      </w:pPr>
      <w:r>
        <w:rPr>
          <w:rFonts w:hAnsi="宋体" w:eastAsia="宋体"/>
          <w:bCs/>
          <w:sz w:val="24"/>
          <w:szCs w:val="24"/>
        </w:rPr>
        <w:t xml:space="preserve">4</w:t>
      </w:r>
      <w:r>
        <w:rPr>
          <w:rFonts w:hint="default" w:hAnsi="宋体" w:eastAsia="宋体"/>
          <w:bCs/>
          <w:sz w:val="24"/>
          <w:szCs w:val="24"/>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739"/>
        <w:ind w:firstLine="480"/>
        <w:spacing w:line="360" w:lineRule="auto"/>
        <w:rPr>
          <w:rFonts w:hint="eastAsia" w:ascii="宋体" w:hAnsi="宋体" w:eastAsia="宋体"/>
          <w:bCs/>
          <w:szCs w:val="24"/>
        </w:rPr>
      </w:pPr>
      <w:r>
        <w:rPr>
          <w:rFonts w:hint="eastAsia" w:ascii="宋体" w:hAnsi="宋体" w:eastAsia="宋体"/>
          <w:bCs/>
          <w:szCs w:val="24"/>
        </w:rPr>
        <w:t xml:space="preserve">5</w:t>
      </w:r>
      <w:r>
        <w:rPr>
          <w:rFonts w:ascii="宋体" w:hAnsi="宋体" w:eastAsia="宋体"/>
          <w:bCs/>
          <w:szCs w:val="24"/>
        </w:rPr>
        <w:t xml:space="preserve">、我们愿意遵守招标公告及招标文件中所列的收费标准。</w:t>
      </w:r>
      <w:r/>
    </w:p>
    <w:p>
      <w:pPr>
        <w:pStyle w:val="1037"/>
        <w:ind w:firstLine="480"/>
        <w:spacing w:line="360" w:lineRule="auto"/>
        <w:rPr>
          <w:rFonts w:hAnsi="宋体" w:eastAsia="宋体"/>
          <w:bCs/>
          <w:sz w:val="24"/>
          <w:szCs w:val="24"/>
        </w:rPr>
      </w:pPr>
      <w:r>
        <w:rPr>
          <w:rFonts w:hAnsi="宋体" w:eastAsia="宋体"/>
          <w:bCs/>
          <w:sz w:val="24"/>
          <w:szCs w:val="24"/>
        </w:rPr>
        <w:t xml:space="preserve">6</w:t>
      </w:r>
      <w:r>
        <w:rPr>
          <w:rFonts w:hint="default" w:hAnsi="宋体" w:eastAsia="宋体"/>
          <w:bCs/>
          <w:sz w:val="24"/>
          <w:szCs w:val="24"/>
        </w:rPr>
        <w:t xml:space="preserve">、我们承诺该项投标在开标后的全过程中保持有效，不作任何更改和变动。</w:t>
      </w:r>
      <w:r/>
    </w:p>
    <w:p>
      <w:pPr>
        <w:pStyle w:val="1037"/>
        <w:ind w:firstLine="480"/>
        <w:spacing w:line="360" w:lineRule="auto"/>
        <w:rPr>
          <w:rFonts w:hAnsi="宋体" w:eastAsia="宋体"/>
          <w:bCs/>
          <w:sz w:val="24"/>
          <w:szCs w:val="24"/>
        </w:rPr>
      </w:pPr>
      <w:r>
        <w:rPr>
          <w:rFonts w:hAnsi="宋体" w:eastAsia="宋体"/>
          <w:bCs/>
          <w:sz w:val="24"/>
          <w:szCs w:val="24"/>
        </w:rPr>
        <w:t xml:space="preserve">7</w:t>
      </w:r>
      <w:r>
        <w:rPr>
          <w:rFonts w:hint="default" w:hAnsi="宋体" w:eastAsia="宋体"/>
          <w:bCs/>
          <w:sz w:val="24"/>
          <w:szCs w:val="24"/>
        </w:rPr>
        <w:t xml:space="preserve">、我们同意中标方若无法按约定条款履行义务等行为，招标方有权取消其中标资格。</w:t>
      </w:r>
      <w:r/>
    </w:p>
    <w:p>
      <w:pPr>
        <w:pStyle w:val="1037"/>
        <w:ind w:firstLine="480"/>
        <w:spacing w:line="360" w:lineRule="auto"/>
        <w:rPr>
          <w:rFonts w:hAnsi="宋体" w:eastAsia="宋体"/>
          <w:bCs/>
          <w:sz w:val="24"/>
          <w:szCs w:val="24"/>
        </w:rPr>
      </w:pPr>
      <w:r>
        <w:rPr>
          <w:rFonts w:hAnsi="宋体" w:eastAsia="宋体"/>
          <w:bCs/>
          <w:sz w:val="24"/>
          <w:szCs w:val="24"/>
        </w:rPr>
        <w:t xml:space="preserve">8</w:t>
      </w:r>
      <w:r>
        <w:rPr>
          <w:rFonts w:hint="default" w:hAnsi="宋体" w:eastAsia="宋体"/>
          <w:bCs/>
          <w:sz w:val="24"/>
          <w:szCs w:val="24"/>
        </w:rPr>
        <w:t xml:space="preserve">、如果我们中标，我们愿意在</w:t>
      </w:r>
      <w:r>
        <w:rPr>
          <w:rFonts w:hAnsi="宋体" w:eastAsia="宋体"/>
          <w:bCs/>
          <w:sz w:val="24"/>
          <w:szCs w:val="24"/>
          <w:lang w:val="zh-CN"/>
        </w:rPr>
        <w:t xml:space="preserve">领取中标通知书时</w:t>
      </w:r>
      <w:r>
        <w:rPr>
          <w:rFonts w:hint="default" w:hAnsi="宋体" w:eastAsia="宋体"/>
          <w:bCs/>
          <w:sz w:val="24"/>
          <w:szCs w:val="24"/>
        </w:rPr>
        <w:t xml:space="preserve">按</w:t>
      </w:r>
      <w:r>
        <w:rPr>
          <w:rFonts w:hAnsi="宋体" w:eastAsia="宋体"/>
          <w:bCs/>
          <w:sz w:val="24"/>
          <w:szCs w:val="24"/>
        </w:rPr>
        <w:t xml:space="preserve">招标文件规定</w:t>
      </w:r>
      <w:r>
        <w:rPr>
          <w:rFonts w:hint="default" w:hAnsi="宋体" w:eastAsia="宋体"/>
          <w:bCs/>
          <w:sz w:val="24"/>
          <w:szCs w:val="24"/>
        </w:rPr>
        <w:t xml:space="preserve">支付中标服务费，逾期按中国人民银行公布的同期人民币贷款最高利率计付利息；</w:t>
      </w:r>
      <w:r/>
    </w:p>
    <w:p>
      <w:pPr>
        <w:pStyle w:val="1037"/>
        <w:ind w:firstLine="480"/>
        <w:spacing w:line="360" w:lineRule="auto"/>
        <w:rPr>
          <w:rFonts w:hAnsi="宋体" w:eastAsia="宋体"/>
          <w:bCs/>
          <w:sz w:val="24"/>
          <w:szCs w:val="24"/>
        </w:rPr>
      </w:pPr>
      <w:r>
        <w:rPr>
          <w:rFonts w:hAnsi="宋体" w:eastAsia="宋体"/>
          <w:bCs/>
          <w:sz w:val="24"/>
          <w:szCs w:val="24"/>
        </w:rPr>
        <w:t xml:space="preserve">9、我们承诺我公司符合招标文件投标人须知中“合格投标人的条件”的要求，若与真实情况不符，本公司愿意承担由此而产生的一切后果。</w:t>
      </w:r>
      <w:r/>
    </w:p>
    <w:p>
      <w:pPr>
        <w:pStyle w:val="1037"/>
        <w:ind w:firstLine="480"/>
        <w:spacing w:line="360" w:lineRule="auto"/>
        <w:rPr>
          <w:rFonts w:hAnsi="宋体" w:eastAsia="宋体" w:cs="宋体"/>
          <w:bCs/>
          <w:color w:val="000000"/>
          <w:sz w:val="24"/>
          <w:szCs w:val="24"/>
        </w:rPr>
      </w:pPr>
      <w:r>
        <w:rPr>
          <w:rFonts w:hAnsi="宋体" w:eastAsia="宋体" w:cs="宋体"/>
          <w:bCs/>
          <w:color w:val="000000"/>
          <w:sz w:val="24"/>
          <w:szCs w:val="24"/>
        </w:rPr>
        <w:t xml:space="preserve">10、与本投标有关的通讯地址：</w:t>
      </w:r>
      <w:r/>
    </w:p>
    <w:p>
      <w:pPr>
        <w:pStyle w:val="1037"/>
        <w:ind w:firstLine="480"/>
        <w:spacing w:line="360" w:lineRule="auto"/>
        <w:rPr>
          <w:rFonts w:hAnsi="宋体" w:eastAsia="宋体" w:cs="宋体"/>
          <w:bCs/>
          <w:color w:val="000000"/>
          <w:sz w:val="24"/>
          <w:szCs w:val="24"/>
        </w:rPr>
      </w:pPr>
      <w:r>
        <w:rPr>
          <w:rFonts w:hAnsi="宋体" w:eastAsia="宋体" w:cs="宋体"/>
          <w:bCs/>
          <w:color w:val="000000"/>
          <w:sz w:val="24"/>
          <w:szCs w:val="24"/>
        </w:rPr>
        <w:t xml:space="preserve">单    位：                                 联 系 人：                   </w:t>
      </w:r>
      <w:r/>
    </w:p>
    <w:p>
      <w:pPr>
        <w:pStyle w:val="1037"/>
        <w:ind w:firstLine="480"/>
        <w:spacing w:line="360" w:lineRule="auto"/>
        <w:rPr>
          <w:rFonts w:hAnsi="宋体" w:eastAsia="宋体" w:cs="宋体"/>
          <w:bCs/>
          <w:color w:val="000000"/>
          <w:sz w:val="24"/>
          <w:szCs w:val="24"/>
        </w:rPr>
      </w:pPr>
      <w:r>
        <w:rPr>
          <w:rFonts w:hAnsi="宋体" w:eastAsia="宋体" w:cs="宋体"/>
          <w:bCs/>
          <w:color w:val="000000"/>
          <w:sz w:val="24"/>
          <w:szCs w:val="24"/>
        </w:rPr>
        <w:t xml:space="preserve">地    址：                                 </w:t>
      </w:r>
      <w:r>
        <w:rPr>
          <w:rFonts w:hAnsi="宋体" w:eastAsia="宋体" w:cs="宋体"/>
          <w:bCs/>
          <w:color w:val="000000"/>
          <w:sz w:val="24"/>
          <w:szCs w:val="24"/>
        </w:rPr>
        <w:t xml:space="preserve">手机号码</w:t>
      </w:r>
      <w:r>
        <w:rPr>
          <w:rFonts w:hAnsi="宋体" w:eastAsia="宋体" w:cs="宋体"/>
          <w:bCs/>
          <w:color w:val="000000"/>
          <w:sz w:val="24"/>
          <w:szCs w:val="24"/>
        </w:rPr>
        <w:t xml:space="preserve">：                                 </w:t>
      </w:r>
      <w:r/>
    </w:p>
    <w:p>
      <w:pPr>
        <w:pStyle w:val="1037"/>
        <w:ind w:firstLine="480"/>
        <w:spacing w:line="360" w:lineRule="auto"/>
        <w:rPr>
          <w:rFonts w:hAnsi="宋体" w:eastAsia="宋体" w:cs="宋体"/>
          <w:bCs/>
          <w:color w:val="000000"/>
          <w:sz w:val="24"/>
          <w:szCs w:val="24"/>
        </w:rPr>
      </w:pPr>
      <w:r>
        <w:rPr>
          <w:rFonts w:hAnsi="宋体" w:eastAsia="宋体" w:cs="宋体"/>
          <w:bCs/>
          <w:color w:val="000000"/>
          <w:sz w:val="24"/>
          <w:szCs w:val="24"/>
        </w:rPr>
        <w:t xml:space="preserve">投标人：（单位盖章）</w:t>
      </w:r>
      <w:r/>
    </w:p>
    <w:p>
      <w:pPr>
        <w:pStyle w:val="1037"/>
        <w:ind w:firstLine="480"/>
        <w:spacing w:line="360" w:lineRule="auto"/>
        <w:rPr>
          <w:rFonts w:hAnsi="宋体" w:eastAsia="宋体" w:cs="宋体"/>
          <w:bCs/>
          <w:color w:val="000000"/>
          <w:sz w:val="24"/>
          <w:szCs w:val="24"/>
        </w:rPr>
      </w:pPr>
      <w:r>
        <w:rPr>
          <w:rFonts w:hAnsi="宋体" w:eastAsia="宋体" w:cs="宋体"/>
          <w:bCs/>
          <w:color w:val="000000"/>
          <w:sz w:val="24"/>
          <w:szCs w:val="24"/>
        </w:rPr>
        <w:t xml:space="preserve">单位法定代表人或被授权委托人：（签字或盖章）             </w:t>
      </w:r>
      <w:r/>
    </w:p>
    <w:p>
      <w:pPr>
        <w:pStyle w:val="1037"/>
        <w:spacing w:line="360" w:lineRule="auto"/>
        <w:rPr>
          <w:rFonts w:hAnsi="宋体" w:eastAsia="宋体" w:cs="宋体"/>
          <w:bCs/>
          <w:color w:val="000000"/>
          <w:sz w:val="24"/>
          <w:szCs w:val="24"/>
        </w:rPr>
      </w:pPr>
      <w:r>
        <w:rPr>
          <w:rFonts w:hAnsi="宋体" w:eastAsia="宋体" w:cs="宋体"/>
          <w:bCs/>
          <w:color w:val="000000"/>
          <w:sz w:val="24"/>
          <w:szCs w:val="24"/>
        </w:rPr>
        <w:t xml:space="preserve">  </w:t>
      </w:r>
      <w:r>
        <w:rPr>
          <w:rFonts w:hAnsi="宋体" w:eastAsia="宋体" w:cs="宋体"/>
          <w:bCs/>
          <w:color w:val="000000"/>
          <w:sz w:val="24"/>
          <w:szCs w:val="24"/>
        </w:rPr>
        <w:t xml:space="preserve">  </w:t>
      </w:r>
      <w:r>
        <w:rPr>
          <w:rFonts w:hAnsi="宋体" w:eastAsia="宋体" w:cs="宋体"/>
          <w:bCs/>
          <w:color w:val="000000"/>
          <w:sz w:val="24"/>
          <w:szCs w:val="24"/>
        </w:rPr>
        <w:t xml:space="preserve">日期：    年     月     日</w:t>
      </w:r>
      <w:bookmarkStart w:id="57" w:name="_Toc142194267"/>
      <w:r>
        <w:rPr>
          <w:rFonts w:hAnsi="宋体" w:eastAsia="宋体" w:cs="宋体"/>
          <w:bCs/>
          <w:color w:val="000000"/>
          <w:sz w:val="24"/>
          <w:szCs w:val="24"/>
        </w:rPr>
        <w:br w:type="page" w:clear="all"/>
      </w:r>
      <w:bookmarkStart w:id="58" w:name="_Toc387680432"/>
      <w:r>
        <w:rPr>
          <w:rFonts w:hAnsi="宋体" w:eastAsia="宋体" w:cs="宋体"/>
          <w:bCs/>
          <w:color w:val="000000"/>
          <w:sz w:val="24"/>
          <w:szCs w:val="24"/>
        </w:rPr>
        <w:t xml:space="preserve">格式2、法定代表人授权委托书</w:t>
      </w:r>
      <w:bookmarkEnd w:id="57"/>
      <w:r/>
      <w:bookmarkEnd w:id="58"/>
      <w:r/>
      <w:r/>
    </w:p>
    <w:p>
      <w:pPr>
        <w:pStyle w:val="739"/>
        <w:ind w:firstLine="0"/>
        <w:jc w:val="center"/>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法定代表人授权委托书</w:t>
      </w:r>
      <w:r/>
    </w:p>
    <w:p>
      <w:pPr>
        <w:pStyle w:val="739"/>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本授权委托书声明：我</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rPr>
        <w:t xml:space="preserve">（姓名）系 </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rPr>
        <w:t xml:space="preserve">（投标单位名称）的法定代表人，现授权委托 </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rPr>
        <w:t xml:space="preserve">（单位名称）的 </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rPr>
        <w:t xml:space="preserve">（姓名）为我单位代理人，以本单位的名义参加苏州铖溢林建设工程管理有限公司组织实施的编号为 </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rPr>
        <w:t xml:space="preserve">号的招标活动。代理人在开标、评标、合同采购过程中所签署的一切文件和处理与这有关的一切事务，我均予以承认。</w:t>
      </w:r>
      <w:r/>
    </w:p>
    <w:p>
      <w:pPr>
        <w:pStyle w:val="739"/>
        <w:jc w:val="both"/>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代理人在授权委托书有效期内签署的所有文件不因授权委托的撤销而失效，除非有撤销授权委托的书面通知，本授权委托书自投标开始至合同履行完毕止。</w:t>
      </w:r>
      <w:r/>
    </w:p>
    <w:p>
      <w:pPr>
        <w:pStyle w:val="739"/>
        <w:jc w:val="both"/>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代理人无转委托权。特此委托。</w:t>
      </w:r>
      <w:r/>
    </w:p>
    <w:p>
      <w:pPr>
        <w:pStyle w:val="739"/>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739"/>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投标人：（盖章）</w:t>
      </w:r>
      <w:r/>
    </w:p>
    <w:p>
      <w:pPr>
        <w:pStyle w:val="739"/>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单位法定代表人：（签字或盖章）</w:t>
      </w:r>
      <w:r/>
    </w:p>
    <w:p>
      <w:pPr>
        <w:pStyle w:val="739"/>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被授权委托人：（签字或盖章）</w:t>
      </w:r>
      <w:r/>
    </w:p>
    <w:p>
      <w:pPr>
        <w:pStyle w:val="739"/>
        <w:jc w:val="righ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739"/>
        <w:jc w:val="center"/>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                                    日期：    年    月    日</w:t>
      </w:r>
      <w:r/>
    </w:p>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spacing w:line="360" w:lineRule="auto"/>
        <w:rPr>
          <w:rFonts w:hint="eastAsia" w:ascii="宋体" w:hAnsi="宋体" w:cs="宋体"/>
          <w:bCs/>
          <w:color w:val="000000"/>
          <w:sz w:val="24"/>
        </w:rPr>
      </w:pPr>
      <w:r>
        <w:rPr>
          <w:rFonts w:hint="eastAsia" w:ascii="宋体" w:hAnsi="宋体" w:cs="宋体"/>
          <w:bCs/>
          <w:color w:val="000000"/>
          <w:sz w:val="24"/>
        </w:rPr>
        <w:br w:type="page" w:clear="all"/>
      </w:r>
      <w:bookmarkStart w:id="59" w:name="_Toc387680433"/>
      <w:r>
        <w:rPr>
          <w:rFonts w:hint="eastAsia" w:ascii="宋体" w:hAnsi="宋体" w:cs="宋体"/>
          <w:bCs/>
          <w:color w:val="000000"/>
          <w:sz w:val="24"/>
        </w:rPr>
        <w:t xml:space="preserve">格式3、</w:t>
      </w:r>
      <w:bookmarkEnd w:id="59"/>
      <w:r>
        <w:rPr>
          <w:rFonts w:hint="eastAsia" w:ascii="宋体" w:hAnsi="宋体" w:cs="宋体"/>
          <w:bCs/>
          <w:color w:val="000000"/>
          <w:sz w:val="24"/>
        </w:rPr>
        <w:t xml:space="preserve">开标一览表：按苏采云系统中统一格式填报</w:t>
      </w:r>
      <w:r/>
    </w:p>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739"/>
        <w:ind w:firstLine="0"/>
        <w:spacing w:line="360" w:lineRule="auto"/>
        <w:rPr>
          <w:rFonts w:hint="eastAsia" w:ascii="宋体" w:hAnsi="宋体" w:eastAsia="宋体" w:cs="宋体"/>
          <w:bCs/>
          <w:color w:val="000000"/>
          <w:szCs w:val="24"/>
        </w:rPr>
      </w:pPr>
      <w:r/>
      <w:bookmarkStart w:id="60" w:name="OLE_LINK4"/>
      <w:r>
        <w:rPr>
          <w:rFonts w:hint="eastAsia" w:ascii="宋体" w:hAnsi="宋体" w:eastAsia="宋体" w:cs="宋体"/>
          <w:bCs/>
          <w:color w:val="000000"/>
          <w:szCs w:val="24"/>
        </w:rPr>
        <w:t xml:space="preserve">格式4、</w:t>
      </w:r>
      <w:bookmarkEnd w:id="60"/>
      <w:r>
        <w:rPr>
          <w:rFonts w:hint="eastAsia" w:ascii="宋体" w:hAnsi="宋体" w:eastAsia="宋体" w:cs="宋体"/>
          <w:bCs/>
          <w:color w:val="000000"/>
          <w:szCs w:val="24"/>
        </w:rPr>
        <w:t xml:space="preserve">投标报价明细表</w:t>
      </w:r>
      <w:r/>
    </w:p>
    <w:p>
      <w:pPr>
        <w:spacing w:line="400" w:lineRule="exact"/>
        <w:rPr>
          <w:rFonts w:hint="eastAsia" w:ascii="宋体" w:hAnsi="宋体"/>
          <w:b/>
          <w:bCs/>
          <w:szCs w:val="21"/>
        </w:rPr>
      </w:pPr>
      <w:r/>
      <w:bookmarkStart w:id="61" w:name="OLE_LINK9"/>
      <w:r>
        <w:rPr>
          <w:rFonts w:hint="eastAsia" w:ascii="宋体" w:hAnsi="宋体"/>
          <w:b/>
          <w:bCs/>
          <w:szCs w:val="21"/>
          <w:lang w:val="zh-CN"/>
        </w:rPr>
        <w:t xml:space="preserve">标段号：1</w:t>
      </w:r>
      <w:r/>
    </w:p>
    <w:p>
      <w:pPr>
        <w:spacing w:line="400" w:lineRule="exact"/>
        <w:rPr>
          <w:rFonts w:hint="eastAsia" w:ascii="宋体" w:hAnsi="宋体"/>
          <w:b/>
          <w:bCs/>
          <w:szCs w:val="21"/>
          <w:lang w:val="zh-CN"/>
        </w:rPr>
      </w:pPr>
      <w:r>
        <w:rPr>
          <w:rFonts w:hint="eastAsia" w:ascii="宋体" w:hAnsi="宋体"/>
          <w:b/>
          <w:bCs/>
          <w:szCs w:val="21"/>
          <w:lang w:val="zh-CN"/>
        </w:rPr>
        <w:t xml:space="preserve">标段名称：2026-2027年度市政设施维护服务项目（道路1标）</w:t>
      </w:r>
      <w:r/>
    </w:p>
    <w:p>
      <w:pPr>
        <w:spacing w:line="400" w:lineRule="exact"/>
        <w:rPr>
          <w:rFonts w:hint="eastAsia" w:ascii="宋体" w:hAnsi="宋体"/>
          <w:b/>
          <w:bCs/>
          <w:szCs w:val="21"/>
          <w:lang w:val="zh-CN"/>
        </w:rPr>
      </w:pPr>
      <w:r>
        <w:rPr>
          <w:rFonts w:hint="eastAsia" w:ascii="宋体" w:hAnsi="宋体"/>
          <w:b/>
          <w:bCs/>
          <w:szCs w:val="21"/>
          <w:lang w:val="zh-CN"/>
        </w:rPr>
      </w:r>
      <w:bookmarkEnd w:id="61"/>
      <w:r/>
      <w:r/>
    </w:p>
    <w:tbl>
      <w:tblPr>
        <w:tblW w:w="5000" w:type="pct"/>
        <w:tblLook w:val="04A0" w:firstRow="1" w:lastRow="0" w:firstColumn="1" w:lastColumn="0" w:noHBand="0" w:noVBand="1"/>
      </w:tblPr>
      <w:tblGrid>
        <w:gridCol w:w="573"/>
        <w:gridCol w:w="999"/>
        <w:gridCol w:w="2751"/>
        <w:gridCol w:w="573"/>
        <w:gridCol w:w="846"/>
        <w:gridCol w:w="1056"/>
        <w:gridCol w:w="741"/>
        <w:gridCol w:w="741"/>
      </w:tblGrid>
      <w:tr>
        <w:trPr>
          <w:trHeight w:val="1020"/>
        </w:trPr>
        <w:tc>
          <w:tcPr>
            <w:tcBorders>
              <w:top w:val="single" w:color="000000" w:sz="8" w:space="0"/>
              <w:left w:val="single" w:color="000000" w:sz="8" w:space="0"/>
              <w:bottom w:val="non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000000" w:sz="8" w:space="0"/>
              <w:left w:val="none" w:color="000000" w:sz="4" w:space="0"/>
              <w:bottom w:val="none" w:color="000000" w:sz="4" w:space="0"/>
              <w:right w:val="single" w:color="000000" w:sz="4" w:space="0"/>
            </w:tcBorders>
            <w:tcW w:w="64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Borders>
              <w:top w:val="single" w:color="000000" w:sz="8" w:space="0"/>
              <w:left w:val="none" w:color="000000" w:sz="4" w:space="0"/>
              <w:bottom w:val="none" w:color="000000" w:sz="4" w:space="0"/>
              <w:right w:val="single" w:color="000000" w:sz="4" w:space="0"/>
            </w:tcBorders>
            <w:tcW w:w="170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项目描述</w:t>
            </w:r>
            <w:r/>
          </w:p>
        </w:tc>
        <w:tc>
          <w:tcPr>
            <w:tcBorders>
              <w:top w:val="single" w:color="000000" w:sz="8" w:space="0"/>
              <w:left w:val="none" w:color="000000" w:sz="4" w:space="0"/>
              <w:bottom w:val="non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单位</w:t>
            </w:r>
            <w:r/>
          </w:p>
        </w:tc>
        <w:tc>
          <w:tcPr>
            <w:tcBorders>
              <w:top w:val="single" w:color="000000" w:sz="8" w:space="0"/>
              <w:left w:val="none" w:color="000000" w:sz="4" w:space="0"/>
              <w:bottom w:val="none" w:color="000000" w:sz="4" w:space="0"/>
              <w:right w:val="single" w:color="000000" w:sz="4" w:space="0"/>
            </w:tcBorders>
            <w:tcW w:w="40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Borders>
              <w:top w:val="single" w:color="000000" w:sz="8" w:space="0"/>
              <w:left w:val="none" w:color="000000" w:sz="4" w:space="0"/>
              <w:bottom w:val="single" w:color="000000" w:sz="4" w:space="0"/>
              <w:right w:val="none" w:color="000000" w:sz="4" w:space="0"/>
            </w:tcBorders>
            <w:tcW w:w="545" w:type="pct"/>
            <w:vAlign w:val="center"/>
            <w:textDirection w:val="lrTb"/>
            <w:noWrap w:val="false"/>
          </w:tcPr>
          <w:p>
            <w:pPr>
              <w:rPr>
                <w:rFonts w:hint="eastAsia" w:ascii="宋体" w:hAnsi="宋体" w:cs="宋体"/>
                <w:szCs w:val="21"/>
              </w:rPr>
            </w:pPr>
            <w:r>
              <w:rPr>
                <w:rFonts w:hint="eastAsia" w:ascii="宋体" w:hAnsi="宋体" w:cs="宋体"/>
                <w:szCs w:val="21"/>
              </w:rPr>
              <w:t xml:space="preserve">最高限价单价/元</w:t>
            </w:r>
            <w:r/>
          </w:p>
        </w:tc>
        <w:tc>
          <w:tcPr>
            <w:tcBorders>
              <w:top w:val="single" w:color="000000" w:sz="8" w:space="0"/>
              <w:left w:val="none" w:color="000000" w:sz="4" w:space="0"/>
              <w:bottom w:val="single" w:color="000000" w:sz="4" w:space="0"/>
              <w:right w:val="none" w:color="000000" w:sz="4" w:space="0"/>
            </w:tcBorders>
            <w:tcW w:w="429"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投标报价单价/元</w:t>
            </w:r>
            <w:r/>
          </w:p>
        </w:tc>
        <w:tc>
          <w:tcPr>
            <w:tcBorders>
              <w:top w:val="single" w:color="000000" w:sz="8" w:space="0"/>
              <w:left w:val="none" w:color="000000" w:sz="4" w:space="0"/>
              <w:bottom w:val="single" w:color="000000" w:sz="4" w:space="0"/>
              <w:right w:val="single" w:color="000000" w:sz="8" w:space="0"/>
            </w:tcBorders>
            <w:tcW w:w="486"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投标报价合价/元</w:t>
            </w:r>
            <w:r/>
          </w:p>
        </w:tc>
      </w:tr>
      <w:tr>
        <w:trPr>
          <w:trHeight w:val="288"/>
        </w:trPr>
        <w:tc>
          <w:tcPr>
            <w:tcBorders>
              <w:top w:val="singl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235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第一部分 巡视</w:t>
            </w:r>
            <w:r/>
          </w:p>
        </w:tc>
        <w:tc>
          <w:tcPr>
            <w:tcBorders>
              <w:top w:val="singl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955"/>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日常巡视（标段1）</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1、工作量计算规则：以“月”为单位，费用自行测算， 按报价结合考核结算</w:t>
            </w:r>
            <w:r>
              <w:rPr>
                <w:rFonts w:hint="eastAsia" w:ascii="宋体" w:hAnsi="宋体" w:cs="宋体"/>
                <w:szCs w:val="21"/>
              </w:rPr>
              <w:br/>
              <w:t xml:space="preserve">2、维护内容：专用巡视车辆（含驾驶人员）对区域范围内市政道路及设施进行日常巡视；专职道路管理人员或养护技术人员对道路（含人行道）及附属设施进行巡视</w:t>
            </w:r>
            <w:r>
              <w:rPr>
                <w:rFonts w:hint="eastAsia" w:ascii="宋体" w:hAnsi="宋体" w:cs="宋体"/>
                <w:szCs w:val="21"/>
              </w:rPr>
              <w:br/>
              <w:t xml:space="preserve">3、巡视频率根据招标文件要求，响应发包人考核</w:t>
            </w:r>
            <w:r>
              <w:rPr>
                <w:rFonts w:hint="eastAsia" w:ascii="宋体" w:hAnsi="宋体" w:cs="宋体"/>
                <w:szCs w:val="21"/>
              </w:rPr>
              <w:br/>
              <w:t xml:space="preserve">4、巡视内容：路面外观变化、结构变化、道路维护作业情况及附属设施等状况，路名牌清洁，做相应记录;</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47069.47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235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第二部分 零星维护</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59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90.69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C20砼基层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2、维护方式：拆除厚度20cm，拆除时不扰动未拆除部分，废料外运弃置；浇筑20cmC20混凝土，养生、清理现场</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217.65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C30砼基层修复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2、维护方式：拆除厚度20cm，拆除时不扰动未拆除部分，废料外运弃置；浇筑20cmC30混凝土，养生、清理现场</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222.22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2、维护方式：拆除厚度15cm，拆除时不扰动未拆除部分，废料外运弃置；摊铺C30干硬性碾压式混凝土，养生、清理现场</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162.86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2、维护方式：拆除厚度15cm，拆除时不扰动未拆除部分，废料外运弃置；摊铺C50干硬性碾压式混凝土，养生、清理现场</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181.95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3、面层材质：6cm中粒式</w:t>
            </w:r>
            <w:r>
              <w:rPr>
                <w:rFonts w:hint="eastAsia" w:ascii="宋体" w:hAnsi="宋体" w:cs="宋体"/>
                <w:szCs w:val="21"/>
              </w:rPr>
              <w:t xml:space="preserve">沥青砼AC-20C(或SUP-20)，石灰岩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2、维护方式：车行道中粒式沥青砼修复，增加抗车辙剂，剂量为沥青混合料0.3%（质量比）</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86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1、部位：粘层</w:t>
            </w:r>
            <w:r>
              <w:rPr>
                <w:rFonts w:hint="eastAsia" w:ascii="宋体" w:hAnsi="宋体" w:cs="宋体"/>
                <w:szCs w:val="21"/>
              </w:rPr>
              <w:br/>
              <w:t xml:space="preserve">2、材料品种：乳化沥青</w:t>
            </w:r>
            <w:r>
              <w:rPr>
                <w:rFonts w:hint="eastAsia" w:ascii="宋体" w:hAnsi="宋体" w:cs="宋体"/>
                <w:szCs w:val="21"/>
              </w:rPr>
              <w:br/>
              <w:t xml:space="preserve">3、喷油量：0.8kg/m2</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封层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2、维护方式：拆除原沥青封层，拆除废料拆除弃置；重新铺设封层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124.14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车行道细粒式沥青砼AC-13C修复-厚度调整清单</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车行道沥青玛蹄脂混合料SMA-13修复-厚度调整清单</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16.57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车行道细粒式沥青砼修复增加SBS改性剂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2、维护方式:车行道细粒式沥青砼修复，增加SBS改性剂</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车行道细粒式沥青砼增加抗剥落剂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2、维护方式:车行道细粒式沥青砼修复，增加抗剥落剂，添加量（沥青）0.2%~0.4%(质量比）</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0.41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车行道细粒式沥青砼增加聚酯纤维</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车行道冷补沥青修复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1、工作量计算规则：按体积以“立方米”计</w:t>
            </w:r>
            <w:r>
              <w:rPr>
                <w:rFonts w:hint="eastAsia" w:ascii="宋体" w:hAnsi="宋体" w:cs="宋体"/>
                <w:szCs w:val="21"/>
              </w:rPr>
              <w:br/>
              <w:t xml:space="preserve">2、维护方式:坑洞清理、冷料沥青填筑坑洞、夯实</w:t>
            </w:r>
            <w:r>
              <w:rPr>
                <w:rFonts w:hint="eastAsia" w:ascii="宋体" w:hAnsi="宋体" w:cs="宋体"/>
                <w:szCs w:val="21"/>
              </w:rPr>
              <w:br/>
              <w:t xml:space="preserve">3、面层材质：冷补沥青混合料</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4262.59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2、维护方式:拆除厚度5cm沥青砼，拆除废料外运弃置，拆除时不扰动未拆除部分；重新修复路面，大空隙沥青砼灌注高流动性水泥基浆，压实，清理现场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355.87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车行道彩色陶瓷颗粒防滑路面修复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2、维护方式:路面清扫、刮涂树脂粘结料、撒布陶瓷颗粒、收集多余陶瓷颗粒等 </w:t>
            </w:r>
            <w:r>
              <w:rPr>
                <w:rFonts w:hint="eastAsia" w:ascii="宋体" w:hAnsi="宋体" w:cs="宋体"/>
                <w:szCs w:val="21"/>
              </w:rPr>
              <w:br/>
              <w:t xml:space="preserve">3、面层材质：改性环氧树脂高性能高分子聚合材料5mm</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161.39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2、维护方式:安装边缘钢筋、角隅加固钢筋、钢筋网。</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7603.23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车行道C20快凝混凝土砼坑洞修补</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2、部位：路面坑洞</w:t>
            </w:r>
            <w:r>
              <w:rPr>
                <w:rFonts w:hint="eastAsia" w:ascii="宋体" w:hAnsi="宋体" w:cs="宋体"/>
                <w:szCs w:val="21"/>
              </w:rPr>
              <w:br/>
              <w:t xml:space="preserve">3、修补材料：C20快凝混凝土</w:t>
            </w:r>
            <w:r>
              <w:rPr>
                <w:rFonts w:hint="eastAsia" w:ascii="宋体" w:hAnsi="宋体" w:cs="宋体"/>
                <w:szCs w:val="21"/>
              </w:rPr>
              <w:br/>
              <w:t xml:space="preserve">4、维护方式：凿除、清洗、配料、拌合、浇筑、捣固、养生、清理现场，拆除废料外运弃置</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1834.24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车行道C20碳纤维速凝混凝土坑洞修补</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2、部位：混凝土坑洞</w:t>
            </w:r>
            <w:r>
              <w:rPr>
                <w:rFonts w:hint="eastAsia" w:ascii="宋体" w:hAnsi="宋体" w:cs="宋体"/>
                <w:szCs w:val="21"/>
              </w:rPr>
              <w:br/>
              <w:t xml:space="preserve">3、修补材料：C20碳纤维速凝混凝土</w:t>
            </w:r>
            <w:r>
              <w:rPr>
                <w:rFonts w:hint="eastAsia" w:ascii="宋体" w:hAnsi="宋体" w:cs="宋体"/>
                <w:szCs w:val="21"/>
              </w:rPr>
              <w:br/>
              <w:t xml:space="preserve">4、维护方式：翻挖、切边、整平、铺筑、振实、抹</w:t>
            </w:r>
            <w:r>
              <w:rPr>
                <w:rFonts w:hint="eastAsia" w:ascii="宋体" w:hAnsi="宋体" w:cs="宋体"/>
                <w:szCs w:val="21"/>
              </w:rPr>
              <w:t xml:space="preserve">平、养护、切缝、清理现场，拆除废料外运弃置</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1577.39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4.35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23.76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21.84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29.58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11.61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130.63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89.51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112.13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167.17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现状人行道仿石陶瓷透水砖破损，断裂、破旧部位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200.48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人行道路面砖修复-库存料</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砼路面砖、砼透水砖等道板松动，错块，凸出，沉陷部位</w:t>
            </w:r>
            <w:r>
              <w:rPr>
                <w:rFonts w:hint="eastAsia" w:ascii="宋体" w:hAnsi="宋体" w:cs="宋体"/>
                <w:szCs w:val="21"/>
              </w:rPr>
              <w:br/>
              <w:t xml:space="preserve">2、工作内容：拆除原有面砖及粘结层；拆除废料清理并运输弃置；3cm干硬性水泥砂浆重新铺设，使用库存料路面砖铺设，含出库、运输</w:t>
            </w:r>
            <w:r>
              <w:rPr>
                <w:rFonts w:hint="eastAsia" w:ascii="宋体" w:hAnsi="宋体" w:cs="宋体"/>
                <w:szCs w:val="21"/>
              </w:rPr>
              <w:br/>
              <w:t xml:space="preserve">3、材料、材质：库存材料</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2、工作内容：拆除原有 广场砖及清理，整理归集，用于铺设恢复；拆除废料清理并外运弃置；原垫层找平,3cm干硬性水泥砂浆重新铺设 广场砖，使用原广场砖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120.24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2、工作内容：对应清单“人行道广场砖面层修复”，旧料外运弃置；使用新购广场砖</w:t>
            </w:r>
            <w:r>
              <w:rPr>
                <w:rFonts w:hint="eastAsia" w:ascii="宋体" w:hAnsi="宋体" w:cs="宋体"/>
                <w:szCs w:val="21"/>
              </w:rPr>
              <w:br/>
              <w:t xml:space="preserve">3、材料、材质：100*100mm广场砖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199.43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293.7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3、材料、材质：新购4cm金山石石板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1036.7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243.04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62.24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2、工作内容：对应清单“人行道青砖修复”，旧料外运弃置；铺设新购青砖</w:t>
            </w:r>
            <w:r>
              <w:rPr>
                <w:rFonts w:hint="eastAsia" w:ascii="宋体" w:hAnsi="宋体" w:cs="宋体"/>
                <w:szCs w:val="21"/>
              </w:rPr>
              <w:br/>
              <w:t xml:space="preserve">3、材料、材质：4cm厚方形青砖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386.71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人行道青砖侧铺修复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73.01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青砖破损，断裂、破旧部位</w:t>
            </w:r>
            <w:r>
              <w:rPr>
                <w:rFonts w:hint="eastAsia" w:ascii="宋体" w:hAnsi="宋体" w:cs="宋体"/>
                <w:szCs w:val="21"/>
              </w:rPr>
              <w:br/>
              <w:t xml:space="preserve">2、工作内容：对应清单“人行道青砖侧铺修复”，旧料外运弃置；铺设新购青砖</w:t>
            </w:r>
            <w:r>
              <w:rPr>
                <w:rFonts w:hint="eastAsia" w:ascii="宋体" w:hAnsi="宋体" w:cs="宋体"/>
                <w:szCs w:val="21"/>
              </w:rPr>
              <w:br/>
              <w:t xml:space="preserve">3、材料、材质：新购青砖21.5*10.5*4cm</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389.66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2、工作内容：拆除原有植草砖及粘结层，整理归集用于恢复路面；拆除废料清理并运输弃置；原垫层找平,使用原植草砖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48.37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2、工作内容：对应清单“植草砖块料面层修复”，旧料外运弃置；铺设新购植草砖</w:t>
            </w:r>
            <w:r>
              <w:rPr>
                <w:rFonts w:hint="eastAsia" w:ascii="宋体" w:hAnsi="宋体" w:cs="宋体"/>
                <w:szCs w:val="21"/>
              </w:rPr>
              <w:br/>
              <w:t xml:space="preserve">3、材料、材质：新购植草砖80mm厚植草砖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107.79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卵石面层修复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1、部位:卵石园路破损，松动、卵石脱离、破旧等部位</w:t>
            </w:r>
            <w:r>
              <w:rPr>
                <w:rFonts w:hint="eastAsia" w:ascii="宋体" w:hAnsi="宋体" w:cs="宋体"/>
                <w:szCs w:val="21"/>
              </w:rPr>
              <w:br/>
              <w:t xml:space="preserve">2、工作内容：拆除原有卵石及粘结层路面，拆除废料清理并运输弃置；重新铺设卵石园路</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178.93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仿石陶瓷砖防滑处理</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1、部位:仿石陶瓷砖人行道</w:t>
            </w:r>
            <w:r>
              <w:rPr>
                <w:rFonts w:hint="eastAsia" w:ascii="宋体" w:hAnsi="宋体" w:cs="宋体"/>
                <w:szCs w:val="21"/>
              </w:rPr>
              <w:br/>
              <w:t xml:space="preserve">2、工作内容：清理地面，专用药水涂抹，清理表面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花岗岩道板防滑处理</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1、部位:花岗岩道板人行道</w:t>
            </w:r>
            <w:r>
              <w:rPr>
                <w:rFonts w:hint="eastAsia" w:ascii="宋体" w:hAnsi="宋体" w:cs="宋体"/>
                <w:szCs w:val="21"/>
              </w:rPr>
              <w:br/>
              <w:t xml:space="preserve">2、工作内容：火烧处理花岗岩石板面，清理表面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20.18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41.14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59.25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44.24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42.84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36.99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47.81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30.62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40.48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37.51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36.58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78.81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安装石球：新购直径50cm花岗岩石球</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1、工作内容：拆除、移除原损坏石球，旧料外运弃置；安砌花岗岩石球（直径50cm），购置，安砌、固定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537.94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安装石球：新购直径60cm花岗岩石球</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1、工作内容：拆除、移除原损坏石球，旧料外运弃置；安砌花岗岩石球（直径60cm），购置，安砌、固定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941.39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移位石球车挡</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1、工作内容：花岗岩石球车挡，移位，安砌、固定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车阻石</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1、工作内容：购置花岗岩车阻石，φ10cm钢管焊接钢板预埋件安装</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3、材料品种：花岗岩车阻石，D=30cm，高60cm，样式按现场或采购人要求，尺寸不一致，按体积折算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447.5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花岗岩车档修复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1、工作内容：花岗岩车档拆除、安装、扶正、连接固定费用</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U型桩修复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1、工作内容：包括隔离桩扶正固定、除锈、涂漆、贴反光膜等所有费用</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透水混凝土</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1、工作内容：拆除原透水砼，拆除料外运弃置，重新浇筑透水砼</w:t>
            </w:r>
            <w:r>
              <w:rPr>
                <w:rFonts w:hint="eastAsia" w:ascii="宋体" w:hAnsi="宋体" w:cs="宋体"/>
                <w:szCs w:val="21"/>
              </w:rPr>
              <w:br/>
              <w:t xml:space="preserve">2、工作量计算规则：按面积以“平方米”计，厚度不一致折算处理</w:t>
            </w:r>
            <w:r>
              <w:rPr>
                <w:rFonts w:hint="eastAsia" w:ascii="宋体" w:hAnsi="宋体" w:cs="宋体"/>
                <w:szCs w:val="21"/>
              </w:rPr>
              <w:br/>
              <w:t xml:space="preserve">3、材料品种：15cm透水砼基础</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拆除刚性路面路基材料</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1、结构形式:刚性路面路基材料，（钢筋砼或砼）综合考虑</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354.51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拆除半刚性路面路基材料</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1、结构形式:半刚性路面路基材料</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319.09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树池盖板（箅子）</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1、材质、规格：130*130*3cm厚球墨铸铁树池篦子</w:t>
            </w:r>
            <w:r>
              <w:rPr>
                <w:rFonts w:hint="eastAsia" w:ascii="宋体" w:hAnsi="宋体" w:cs="宋体"/>
                <w:szCs w:val="21"/>
              </w:rPr>
              <w:br/>
              <w:t xml:space="preserve">2、工作内容：拆除、弃置元树池篦子，更换新树池篦子</w:t>
            </w:r>
            <w:r>
              <w:rPr>
                <w:rFonts w:hint="eastAsia" w:ascii="宋体" w:hAnsi="宋体" w:cs="宋体"/>
                <w:szCs w:val="21"/>
              </w:rPr>
              <w:br/>
              <w:t xml:space="preserve">3、工作量计算规则：按套计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874.15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检查井升降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1、材料品种：砖砌检查井，雨水污水综合考虑，防沉降井盖座850*190（高度190mm)，详见设计，D400级，雨水井盖、污水井盖文字、图案按设计要求</w:t>
            </w:r>
            <w:r>
              <w:rPr>
                <w:rFonts w:hint="eastAsia" w:ascii="宋体" w:hAnsi="宋体" w:cs="宋体"/>
                <w:szCs w:val="21"/>
              </w:rPr>
              <w:br/>
              <w:t xml:space="preserve">2、工作内容：拆除旧窨井、雨水井框盖及升砌砖墙、抹内墙、消除废料,含运弃；安放井框盖，井盖座为更换新防沉降井盖座</w:t>
            </w:r>
            <w:r>
              <w:rPr>
                <w:rFonts w:hint="eastAsia" w:ascii="宋体" w:hAnsi="宋体" w:cs="宋体"/>
                <w:szCs w:val="21"/>
              </w:rPr>
              <w:br/>
              <w:t xml:space="preserve">3、平均升（降）高度：投标人自行考虑</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1723.79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人工挖土（含外运）</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2、工作内容：人工挖土、抛土、修正底边、边坡</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163.96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机械挖土（含外运）</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2、工作内容：挖掘机挖土、装车、清理余土、人工配合修整路槽，清理等，含土方运输弃置</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135.33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绿化围栏</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1、结构形式:内弯型墨绿色镀锌管烤漆镀锌管，表面烤漆绿化围栏，高1.0米，尺寸不一致按此折算处理</w:t>
            </w:r>
            <w:r>
              <w:rPr>
                <w:rFonts w:hint="eastAsia" w:ascii="宋体" w:hAnsi="宋体" w:cs="宋体"/>
                <w:szCs w:val="21"/>
              </w:rPr>
              <w:br/>
              <w:t xml:space="preserve">2、工作内容：包括基础、围栏安装等所有费用，挖土费不单独计</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280.51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绿化围栏修复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1、结构形式:现场围挡</w:t>
            </w:r>
            <w:r>
              <w:rPr>
                <w:rFonts w:hint="eastAsia" w:ascii="宋体" w:hAnsi="宋体" w:cs="宋体"/>
                <w:szCs w:val="21"/>
              </w:rPr>
              <w:br/>
              <w:t xml:space="preserve">2、工作内容：2.5米以下，现场绿化围栏固定、连接、扶正等</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隔离桩</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2、工作内容：开挖基坑，埋置隔离桩，基础固定</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95.46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隔离桩修复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2、工作内容：隔离桩扶正固定、除锈、涂漆、贴反光膜等所有费用</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回填方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1、结构形式:回填土方</w:t>
            </w:r>
            <w:r>
              <w:rPr>
                <w:rFonts w:hint="eastAsia" w:ascii="宋体" w:hAnsi="宋体" w:cs="宋体"/>
                <w:szCs w:val="21"/>
              </w:rPr>
              <w:br/>
              <w:t xml:space="preserve">2、工作内容：坑槽回填，回填采用素土回填，包括土源</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49.29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45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路名牌新建或整体更换</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1、结构形式:立杆式双面路名牌，含表面贴膜，立杆安装等全套路名牌</w:t>
            </w:r>
            <w:r>
              <w:rPr>
                <w:rFonts w:hint="eastAsia" w:ascii="宋体" w:hAnsi="宋体" w:cs="宋体"/>
                <w:szCs w:val="21"/>
              </w:rPr>
              <w:br/>
              <w:t xml:space="preserve">2、规格、尺寸：126cm*36cm铝板（1.5mm厚），整套路牌喷塑、装配零部件，铝制特型材7cm*3cm,壁厚1.2mm，ABS塑料链接弯头，定做塑料件，70*50*3mm方钢管，除锈镀锌处理、厚8mm底板，配套底座等整套路名牌</w:t>
            </w:r>
            <w:r>
              <w:rPr>
                <w:rFonts w:hint="eastAsia" w:ascii="宋体" w:hAnsi="宋体" w:cs="宋体"/>
                <w:szCs w:val="21"/>
              </w:rPr>
              <w:br/>
              <w:t xml:space="preserve">3、工作内容：含挖土坑，立杆基础、安装路名牌、清理现场等</w:t>
            </w:r>
            <w:r>
              <w:rPr>
                <w:rFonts w:hint="eastAsia" w:ascii="宋体" w:hAnsi="宋体" w:cs="宋体"/>
                <w:szCs w:val="21"/>
              </w:rPr>
              <w:br/>
              <w:t xml:space="preserve">4、工作量计量规则：按套”计算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1770.61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路名牌更换(更换牌板）</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1、结构形式:双面路名牌，单面厚度2mm、1250*350 mm</w:t>
            </w:r>
            <w:r>
              <w:rPr>
                <w:rFonts w:hint="eastAsia" w:ascii="宋体" w:hAnsi="宋体" w:cs="宋体"/>
                <w:szCs w:val="21"/>
              </w:rPr>
              <w:br/>
              <w:t xml:space="preserve">2、规格、尺寸：126cm*36cm铝板（1.5mm厚），整套路牌喷塑、装配零部件，铝制特型材7cm*3cm,壁厚1.2mm，ABS塑料链接弯头，定做塑料件等</w:t>
            </w:r>
            <w:r>
              <w:rPr>
                <w:rFonts w:hint="eastAsia" w:ascii="宋体" w:hAnsi="宋体" w:cs="宋体"/>
                <w:szCs w:val="21"/>
              </w:rPr>
              <w:br/>
              <w:t xml:space="preserve">3、工作内容：拆除原损坏路名牌，更换新路名牌</w:t>
            </w:r>
            <w:r>
              <w:rPr>
                <w:rFonts w:hint="eastAsia" w:ascii="宋体" w:hAnsi="宋体" w:cs="宋体"/>
                <w:szCs w:val="21"/>
              </w:rPr>
              <w:br/>
              <w:t xml:space="preserve">4、工作量计量规则：按个数以“块”计算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1546.86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路名牌贴膜</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1、结构形式:双面路名牌，更新表面膜，底膜采用反光膜（超强级）、字膜采用方光膜（超强级）</w:t>
            </w:r>
            <w:r>
              <w:rPr>
                <w:rFonts w:hint="eastAsia" w:ascii="宋体" w:hAnsi="宋体" w:cs="宋体"/>
                <w:szCs w:val="21"/>
              </w:rPr>
              <w:br/>
              <w:t xml:space="preserve">2、工作内容：清除路名牌表面旧贴膜，重新贴面</w:t>
            </w:r>
            <w:r>
              <w:rPr>
                <w:rFonts w:hint="eastAsia" w:ascii="宋体" w:hAnsi="宋体" w:cs="宋体"/>
                <w:szCs w:val="21"/>
              </w:rPr>
              <w:br/>
              <w:t xml:space="preserve">3、工作量计量规则：按个数以“块”计算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174.83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路名牌除锈、油漆、加固</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2、工作内容：路名牌除锈，油漆、加固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94.44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路名牌除锈、加固</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78.75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路名牌更换立杆</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1、结构形式:现状路名牌，单根70*50*3mm方钢管立杆，表面防锈烤漆，立柱高2米</w:t>
            </w:r>
            <w:r>
              <w:rPr>
                <w:rFonts w:hint="eastAsia" w:ascii="宋体" w:hAnsi="宋体" w:cs="宋体"/>
                <w:szCs w:val="21"/>
              </w:rPr>
              <w:br/>
              <w:t xml:space="preserve">2、工作内容：更换路名牌立杆</w:t>
            </w:r>
            <w:r>
              <w:rPr>
                <w:rFonts w:hint="eastAsia" w:ascii="宋体" w:hAnsi="宋体" w:cs="宋体"/>
                <w:szCs w:val="21"/>
              </w:rPr>
              <w:br/>
              <w:t xml:space="preserve">3、工作量计量规则：按个以“根”计算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266.57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57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热熔标线</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1、材料品种：热熔标线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57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常温标线</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1、材料品种：常温标线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24.21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清除标线</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1、清除方法：综合考虑</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80.69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防滑条</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1、规格、材质：防滑铜条 3×40×1mm</w:t>
            </w:r>
            <w:r>
              <w:rPr>
                <w:rFonts w:hint="eastAsia" w:ascii="宋体" w:hAnsi="宋体" w:cs="宋体"/>
                <w:szCs w:val="21"/>
              </w:rPr>
              <w:br/>
              <w:t xml:space="preserve">2、工作内容：拆除原台阶金属防滑条，更换新防滑条</w:t>
            </w:r>
            <w:r>
              <w:rPr>
                <w:rFonts w:hint="eastAsia" w:ascii="宋体" w:hAnsi="宋体" w:cs="宋体"/>
                <w:szCs w:val="21"/>
              </w:rPr>
              <w:br/>
              <w:t xml:space="preserve">3、工作量计算规则：按米计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479.34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附着式标志牌</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2、材质、规格尺寸：圆形、三角形、矩形标志牌等，报价包括使用、维护、损耗等费用，材料残值归服务人。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r>
            <w:r>
              <w:rPr>
                <w:rFonts w:hint="eastAsia" w:ascii="宋体" w:hAnsi="宋体" w:cs="宋体"/>
                <w:szCs w:val="21"/>
              </w:rPr>
              <w:t xml:space="preserve">4、工作量计算规则：按“块”计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389.77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支架式标志牌</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2、材质、规格尺寸：160*140cm标志牌，报价包括使用、维护、损耗等费用，材料残值归服务人。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4、工作量计算规则：按“块”计，尺寸不一按面积折算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57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计日工</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按工日计，每个工日8个小时，不足8个小时折算工日</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工日</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172.14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栏杆（更新）</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3、工作内容：拆除原破损栏凳，清理现场，废料弃置，材料残值归服务人</w:t>
            </w:r>
            <w:r>
              <w:rPr>
                <w:rFonts w:hint="eastAsia" w:ascii="宋体" w:hAnsi="宋体" w:cs="宋体"/>
                <w:szCs w:val="21"/>
              </w:rPr>
              <w:br/>
              <w:t xml:space="preserve">4、工作量计算规则：按花岗岩体积以“立方米”计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6495.92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栏杆（维修）</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3、工作内容：破损栏凳维修，松动脱落部位粘结加固</w:t>
            </w:r>
            <w:r>
              <w:rPr>
                <w:rFonts w:hint="eastAsia" w:ascii="宋体" w:hAnsi="宋体" w:cs="宋体"/>
                <w:szCs w:val="21"/>
              </w:rPr>
              <w:br/>
              <w:t xml:space="preserve">4、工作量计算规则：按栏凳长度以“米”计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256.66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104</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设施维护手续办理费用</w:t>
            </w:r>
            <w:r/>
          </w:p>
        </w:tc>
        <w:tc>
          <w:tcPr>
            <w:tcBorders>
              <w:top w:val="none" w:color="000000" w:sz="4" w:space="0"/>
              <w:left w:val="none" w:color="000000" w:sz="4" w:space="0"/>
              <w:bottom w:val="single" w:color="auto" w:sz="4" w:space="0"/>
              <w:right w:val="single" w:color="auto"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1、用于因设施维护并按采购人要求进行绿化迁移、管线迁移等产生的费用</w:t>
            </w:r>
            <w:r>
              <w:rPr>
                <w:rFonts w:hint="eastAsia" w:ascii="宋体" w:hAnsi="宋体" w:cs="宋体"/>
                <w:szCs w:val="21"/>
              </w:rPr>
              <w:br/>
              <w:t xml:space="preserve">2、</w:t>
            </w:r>
            <w:r>
              <w:rPr>
                <w:rFonts w:hint="eastAsia" w:ascii="宋体" w:hAnsi="宋体" w:cs="宋体"/>
                <w:b/>
                <w:bCs/>
                <w:szCs w:val="21"/>
              </w:rPr>
              <w:t xml:space="preserve">不可竞争</w:t>
            </w:r>
            <w:r>
              <w:rPr>
                <w:rFonts w:hint="eastAsia" w:ascii="宋体" w:hAnsi="宋体" w:cs="宋体"/>
                <w:szCs w:val="21"/>
              </w:rPr>
              <w:t xml:space="preserve">，按实结算</w:t>
            </w:r>
            <w:r/>
          </w:p>
        </w:tc>
        <w:tc>
          <w:tcPr>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auto" w:sz="4" w:space="0"/>
              <w:right w:val="single" w:color="auto"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86" w:type="pct"/>
            <w:vAlign w:val="center"/>
            <w:textDirection w:val="lrTb"/>
            <w:noWrap w:val="false"/>
          </w:tcPr>
          <w:p>
            <w:pPr>
              <w:rPr>
                <w:rFonts w:hint="eastAsia" w:ascii="宋体" w:hAnsi="宋体" w:cs="宋体"/>
                <w:szCs w:val="21"/>
              </w:rPr>
            </w:pPr>
            <w:r>
              <w:rPr>
                <w:rFonts w:hint="eastAsia" w:ascii="宋体" w:hAnsi="宋体" w:cs="宋体"/>
                <w:szCs w:val="21"/>
              </w:rPr>
              <w:t xml:space="preserve">10000</w:t>
            </w:r>
            <w:r/>
          </w:p>
        </w:tc>
      </w:tr>
      <w:tr>
        <w:trPr>
          <w:trHeight w:val="28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235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第三部分 专项维护</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575"/>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车行道水泥稳定碎石摊铺</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2、水泥稳定碎石厚：20cm水泥稳定碎石</w:t>
            </w:r>
            <w:r>
              <w:rPr>
                <w:rFonts w:hint="eastAsia" w:ascii="宋体" w:hAnsi="宋体" w:cs="宋体"/>
                <w:szCs w:val="21"/>
              </w:rPr>
              <w:br/>
              <w:t xml:space="preserve">2、维护内容：拆除20cm原水泥稳定碎石基层，废料外运弃置；拆除时不扰动未拆除部分；摊铺水泥稳定碎石，水泥剂量4%，覆盖养生</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134.3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C20混凝土基层修复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2、厚度：20cmC20砼基层</w:t>
            </w:r>
            <w:r>
              <w:rPr>
                <w:rFonts w:hint="eastAsia" w:ascii="宋体" w:hAnsi="宋体" w:cs="宋体"/>
                <w:szCs w:val="21"/>
              </w:rPr>
              <w:br/>
              <w:t xml:space="preserve">3、维护内容：拆除20cm原混凝土面层，废料外运弃置；拆除时不扰动未拆除部分；浇筑C20水泥混凝土，覆盖养生</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163.14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C30混凝土基层修复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2、厚度：20cmC30砼基层</w:t>
            </w:r>
            <w:r>
              <w:rPr>
                <w:rFonts w:hint="eastAsia" w:ascii="宋体" w:hAnsi="宋体" w:cs="宋体"/>
                <w:szCs w:val="21"/>
              </w:rPr>
              <w:br/>
              <w:t xml:space="preserve">3、维护内容：拆除20cm原混凝土面层，废料外运弃置；拆除时不扰动未拆除部分；浇筑C30水泥混凝土，覆盖养生</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166.94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2、厚度：15cm干硬性碾压式C30砼</w:t>
            </w:r>
            <w:r>
              <w:rPr>
                <w:rFonts w:hint="eastAsia" w:ascii="宋体" w:hAnsi="宋体" w:cs="宋体"/>
                <w:szCs w:val="21"/>
              </w:rPr>
              <w:br/>
              <w:t xml:space="preserve">3、维护内容：拆除厚度15cm，废料外运弃置；拆除时不扰动未拆除部分；摊铺C30干硬性碾压式混凝土，养生、清理现场</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117.91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2、厚度：15cm干硬性碾压式C50砼</w:t>
            </w:r>
            <w:r>
              <w:rPr>
                <w:rFonts w:hint="eastAsia" w:ascii="宋体" w:hAnsi="宋体" w:cs="宋体"/>
                <w:szCs w:val="21"/>
              </w:rPr>
              <w:br/>
              <w:t xml:space="preserve">3、维护内容：拆除厚度15cm，废料外运弃置；拆除时不扰动未拆除部分；摊铺C50干硬性碾压式混凝土，养生、清理现场</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133.92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2、维护方式：铣刨厚度6cm沥青砼，拆除时不扰动未拆除部分；重新修复沥青砼路面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84.56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80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2、维护方式：车行道中粒式沥青砼修复，增加抗车辙剂，添加量0.2~0.4%（质量比）</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6.51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77.18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沥青砼AC-13C修复-厚度调整清单</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9.91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沥青玛蹄脂碎石SMA-13修复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88.69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沥青玛蹄脂混合料SMA-13修复-厚度调整清单</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11.35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沥青砼修复-增加SBS改性剂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2、维护方式：对应清单“车行道细粒式沥青砼AC-13C修复”或“沥青玛蹄脂碎石SMA-13修复”，细粒式沥青砼AC-13C修复，增加SBS改性剂</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沥青砼修复-增加抗剥落剂</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2、维护方式：对应清单“车行道细粒式沥青砼AC-13C修复”或“沥青玛蹄脂碎石SMA-13修复”，增加抗剥落剂，添加量（沥青）0.2%~0.4%(质量比）</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0.33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沥青砼修复-增加聚酯纤维</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车行道封层修复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2、维护方式:拆除厚度5cm沥青砼，拆除时不扰动未拆除部分,拆除废料外运弃置；重新修复路面，大空隙沥青砼关注高流动性水泥基浆，压实，清理现场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r>
            <w:r>
              <w:rPr>
                <w:rFonts w:hint="eastAsia" w:ascii="宋体" w:hAnsi="宋体" w:cs="宋体"/>
                <w:szCs w:val="21"/>
              </w:rP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21.39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2、维护内容：清扫路基，运油、加热、洒布机（人工手泵）喷油、移动挡板（或遮盖物）保护侧缘石</w:t>
            </w:r>
            <w:r>
              <w:rPr>
                <w:rFonts w:hint="eastAsia" w:ascii="宋体" w:hAnsi="宋体" w:cs="宋体"/>
                <w:szCs w:val="21"/>
              </w:rPr>
              <w:br/>
              <w:t xml:space="preserve">3、面层材质：0.8kg/m2乳化沥青</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25.57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15.56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8.12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2、维护内容：钢筋除锈， 安装角隅加固钢筋、钢筋网</w:t>
            </w:r>
            <w:r>
              <w:rPr>
                <w:rFonts w:hint="eastAsia" w:ascii="宋体" w:hAnsi="宋体" w:cs="宋体"/>
                <w:szCs w:val="21"/>
              </w:rPr>
              <w:br/>
              <w:t xml:space="preserve">3、面层材质：HRB400钢筋</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6446.74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135.03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101.54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40.95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71.57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129.73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160.12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72.66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150.7</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230.78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190.66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34.62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62.16</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38.82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21.52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52.11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32.23</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40.81</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135.84</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3、材料、材质：新购30*12.5*100cm花岗岩侧石(圆弧形）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138.2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22.9</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66.25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32.32</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雨水口新砌</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1、雨水箅子及圈口材质、型号、规格：350*550球墨铸铁雨水井蓖座</w:t>
            </w:r>
            <w:r>
              <w:rPr>
                <w:rFonts w:hint="eastAsia" w:ascii="宋体" w:hAnsi="宋体" w:cs="宋体"/>
                <w:szCs w:val="21"/>
              </w:rPr>
              <w:br/>
              <w:t xml:space="preserve">2、垫层、基础材质及厚度：碎石垫层，C25混凝土基础</w:t>
            </w:r>
            <w:r>
              <w:rPr>
                <w:rFonts w:hint="eastAsia" w:ascii="宋体" w:hAnsi="宋体" w:cs="宋体"/>
                <w:szCs w:val="21"/>
              </w:rPr>
              <w:br/>
              <w:t xml:space="preserve">3、砌筑材料品种、规格：MU10水泥砂浆砖砌MU10砖</w:t>
            </w:r>
            <w:r>
              <w:rPr>
                <w:rFonts w:hint="eastAsia" w:ascii="宋体" w:hAnsi="宋体" w:cs="宋体"/>
                <w:szCs w:val="21"/>
              </w:rPr>
              <w:br/>
              <w:t xml:space="preserve">4、砂浆强度等级及配合比：1：2水泥砂浆抹面</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1398.5</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执勤费</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1、工作量计算规则：以“人*月”为单位，费用自行测算， 按实际数量结算</w:t>
            </w:r>
            <w:r>
              <w:rPr>
                <w:rFonts w:hint="eastAsia" w:ascii="宋体" w:hAnsi="宋体" w:cs="宋体"/>
                <w:szCs w:val="21"/>
              </w:rPr>
              <w:br/>
              <w:t xml:space="preserve">2、维护内容：交通执勤</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人*月</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4500</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固定围挡</w:t>
            </w:r>
            <w:r/>
          </w:p>
        </w:tc>
        <w:tc>
          <w:tcPr>
            <w:tcBorders>
              <w:top w:val="none" w:color="000000" w:sz="4" w:space="0"/>
              <w:left w:val="none" w:color="000000" w:sz="4" w:space="0"/>
              <w:bottom w:val="single" w:color="000000" w:sz="4" w:space="0"/>
              <w:right w:val="single" w:color="000000"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1、工作量计算规则：按长以“米”计</w:t>
            </w:r>
            <w:r>
              <w:rPr>
                <w:rFonts w:hint="eastAsia" w:ascii="宋体" w:hAnsi="宋体" w:cs="宋体"/>
                <w:szCs w:val="21"/>
              </w:rPr>
              <w:br/>
              <w:t xml:space="preserve">2、维护内容：安装高标准围挡、维护、维修围挡、拆除围挡，含喷淋、公益广告、宣传布告、绿挂等</w:t>
            </w:r>
            <w:r>
              <w:rPr>
                <w:rFonts w:hint="eastAsia" w:ascii="宋体" w:hAnsi="宋体" w:cs="宋体"/>
                <w:szCs w:val="21"/>
              </w:rPr>
              <w:br/>
              <w:t xml:space="preserve">3、材质：围挡规格满足苏州市区相关规定及采购人要求</w:t>
            </w:r>
            <w:r/>
          </w:p>
        </w:tc>
        <w:tc>
          <w:tcPr>
            <w:tcBorders>
              <w:top w:val="none" w:color="000000" w:sz="4" w:space="0"/>
              <w:left w:val="non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325.38</w:t>
            </w:r>
            <w:r/>
          </w:p>
        </w:tc>
        <w:tc>
          <w:tcPr>
            <w:tcBorders>
              <w:top w:val="none" w:color="000000" w:sz="4" w:space="0"/>
              <w:left w:val="none" w:color="000000" w:sz="4" w:space="0"/>
              <w:bottom w:val="single" w:color="000000" w:sz="4" w:space="0"/>
              <w:right w:val="single" w:color="000000"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auto" w:sz="4" w:space="0"/>
              <w:left w:val="none" w:color="000000" w:sz="4" w:space="0"/>
              <w:bottom w:val="single" w:color="auto" w:sz="4" w:space="0"/>
              <w:right w:val="single" w:color="auto" w:sz="4" w:space="0"/>
            </w:tcBorders>
            <w:tcW w:w="235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第四部分 应急管理费</w:t>
            </w:r>
            <w:r/>
          </w:p>
        </w:tc>
        <w:tc>
          <w:tcPr>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auto" w:sz="4" w:space="0"/>
              <w:bottom w:val="single" w:color="auto" w:sz="4" w:space="0"/>
              <w:right w:val="single" w:color="auto"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rPr>
                <w:rFonts w:hint="eastAsia" w:ascii="宋体" w:hAnsi="宋体" w:cs="宋体"/>
                <w:szCs w:val="21"/>
              </w:rPr>
            </w:pPr>
            <w:r>
              <w:rPr>
                <w:rFonts w:hint="eastAsia" w:ascii="宋体" w:hAnsi="宋体" w:cs="宋体"/>
                <w:szCs w:val="21"/>
              </w:rPr>
              <w:t xml:space="preserve">应急管理费</w:t>
            </w:r>
            <w:r/>
          </w:p>
        </w:tc>
        <w:tc>
          <w:tcPr>
            <w:tcBorders>
              <w:top w:val="none" w:color="000000" w:sz="4" w:space="0"/>
              <w:left w:val="none" w:color="000000" w:sz="4" w:space="0"/>
              <w:bottom w:val="single" w:color="auto" w:sz="4" w:space="0"/>
              <w:right w:val="single" w:color="auto" w:sz="4" w:space="0"/>
            </w:tcBorders>
            <w:tcW w:w="1706" w:type="pct"/>
            <w:vAlign w:val="center"/>
            <w:textDirection w:val="lrTb"/>
            <w:noWrap w:val="false"/>
          </w:tcPr>
          <w:p>
            <w:pPr>
              <w:rPr>
                <w:rFonts w:hint="eastAsia" w:ascii="宋体" w:hAnsi="宋体" w:cs="宋体"/>
                <w:szCs w:val="21"/>
              </w:rPr>
            </w:pPr>
            <w:r>
              <w:rPr>
                <w:rFonts w:hint="eastAsia" w:ascii="宋体" w:hAnsi="宋体" w:cs="宋体"/>
                <w:szCs w:val="21"/>
              </w:rPr>
              <w:t xml:space="preserve">雨季、冰冻季和台风暴雨等灾害性天气气候的养护值班及应急处理；紧急、特殊情况的应急处理，应急演练、临时安排等（以招标文件及采购人要求为准）</w:t>
            </w:r>
            <w:r/>
          </w:p>
        </w:tc>
        <w:tc>
          <w:tcPr>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auto" w:sz="4" w:space="0"/>
              <w:right w:val="single" w:color="auto" w:sz="4" w:space="0"/>
            </w:tcBorders>
            <w:tcW w:w="429"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00"/>
        </w:trPr>
        <w:tc>
          <w:tcPr>
            <w:gridSpan w:val="6"/>
            <w:tcBorders>
              <w:top w:val="none" w:color="000000" w:sz="4" w:space="0"/>
              <w:left w:val="single" w:color="000000" w:sz="8" w:space="0"/>
              <w:bottom w:val="single" w:color="000000" w:sz="8" w:space="0"/>
              <w:right w:val="single" w:color="000000" w:sz="4" w:space="0"/>
            </w:tcBorders>
            <w:tcW w:w="40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Borders>
              <w:top w:val="none" w:color="000000" w:sz="4" w:space="0"/>
              <w:left w:val="none" w:color="000000" w:sz="4" w:space="0"/>
              <w:bottom w:val="single" w:color="000000" w:sz="8" w:space="0"/>
              <w:right w:val="single" w:color="000000" w:sz="4" w:space="0"/>
            </w:tcBorders>
            <w:tcW w:w="42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4" w:space="0"/>
            </w:tcBorders>
            <w:tcW w:w="486" w:type="pct"/>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w:t>
            </w:r>
            <w:r/>
          </w:p>
        </w:tc>
      </w:tr>
    </w:tbl>
    <w:p>
      <w:pPr>
        <w:spacing w:line="400" w:lineRule="exact"/>
        <w:rPr>
          <w:rFonts w:hint="eastAsia" w:ascii="宋体" w:hAnsi="宋体"/>
          <w:b/>
          <w:bCs/>
          <w:szCs w:val="21"/>
          <w:lang w:val="zh-CN"/>
        </w:rPr>
      </w:pPr>
      <w:r>
        <w:rPr>
          <w:rFonts w:hint="eastAsia" w:ascii="宋体" w:hAnsi="宋体"/>
          <w:b/>
          <w:bCs/>
          <w:szCs w:val="21"/>
          <w:lang w:val="zh-CN"/>
        </w:rPr>
      </w:r>
      <w:r/>
    </w:p>
    <w:p>
      <w:pPr>
        <w:spacing w:line="400" w:lineRule="exact"/>
        <w:rPr>
          <w:rFonts w:hint="eastAsia" w:ascii="宋体" w:hAnsi="宋体"/>
          <w:b/>
          <w:bCs/>
          <w:szCs w:val="21"/>
        </w:rPr>
      </w:pPr>
      <w:r>
        <w:rPr>
          <w:rFonts w:hint="eastAsia" w:ascii="宋体" w:hAnsi="宋体"/>
          <w:b/>
          <w:bCs/>
          <w:szCs w:val="21"/>
          <w:lang w:val="zh-CN"/>
        </w:rPr>
        <w:t xml:space="preserve">标段号：2</w:t>
      </w:r>
      <w:r/>
    </w:p>
    <w:p>
      <w:pPr>
        <w:spacing w:line="400" w:lineRule="exact"/>
        <w:rPr>
          <w:rFonts w:hint="eastAsia" w:ascii="宋体" w:hAnsi="宋体"/>
          <w:b/>
          <w:bCs/>
          <w:szCs w:val="21"/>
          <w:lang w:val="zh-CN"/>
        </w:rPr>
      </w:pPr>
      <w:r>
        <w:rPr>
          <w:rFonts w:hint="eastAsia" w:ascii="宋体" w:hAnsi="宋体"/>
          <w:b/>
          <w:bCs/>
          <w:szCs w:val="21"/>
          <w:lang w:val="zh-CN"/>
        </w:rPr>
        <w:t xml:space="preserve">标段名称：2026-2027年度市政设施维护服务项目（道路2标）</w:t>
      </w:r>
      <w:r/>
    </w:p>
    <w:tbl>
      <w:tblPr>
        <w:tblW w:w="9120" w:type="dxa"/>
        <w:tblLook w:val="04A0" w:firstRow="1" w:lastRow="0" w:firstColumn="1" w:lastColumn="0" w:noHBand="0" w:noVBand="1"/>
      </w:tblPr>
      <w:tblGrid>
        <w:gridCol w:w="617"/>
        <w:gridCol w:w="1201"/>
        <w:gridCol w:w="3032"/>
        <w:gridCol w:w="614"/>
        <w:gridCol w:w="741"/>
        <w:gridCol w:w="951"/>
        <w:gridCol w:w="1030"/>
        <w:gridCol w:w="934"/>
      </w:tblGrid>
      <w:tr>
        <w:trPr>
          <w:trHeight w:val="864"/>
        </w:trPr>
        <w:tc>
          <w:tcPr>
            <w:tcBorders>
              <w:top w:val="single" w:color="000000" w:sz="8"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000000" w:sz="8" w:space="0"/>
              <w:left w:val="none" w:color="000000" w:sz="4" w:space="0"/>
              <w:bottom w:val="single" w:color="000000" w:sz="4" w:space="0"/>
              <w:right w:val="single" w:color="000000" w:sz="4" w:space="0"/>
            </w:tcBorders>
            <w:tcW w:w="12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Borders>
              <w:top w:val="single" w:color="000000" w:sz="8" w:space="0"/>
              <w:left w:val="none" w:color="000000" w:sz="4" w:space="0"/>
              <w:bottom w:val="single" w:color="000000" w:sz="4" w:space="0"/>
              <w:right w:val="single" w:color="000000" w:sz="4" w:space="0"/>
            </w:tcBorders>
            <w:tcW w:w="30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项目描述</w:t>
            </w:r>
            <w:r/>
          </w:p>
        </w:tc>
        <w:tc>
          <w:tcPr>
            <w:tcBorders>
              <w:top w:val="single" w:color="000000" w:sz="8"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单位</w:t>
            </w:r>
            <w:r/>
          </w:p>
        </w:tc>
        <w:tc>
          <w:tcPr>
            <w:tcBorders>
              <w:top w:val="single" w:color="000000" w:sz="8" w:space="0"/>
              <w:left w:val="none" w:color="000000" w:sz="4" w:space="0"/>
              <w:bottom w:val="single" w:color="000000" w:sz="4" w:space="0"/>
              <w:right w:val="single" w:color="000000" w:sz="4" w:space="0"/>
            </w:tcBorders>
            <w:tcW w:w="7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Borders>
              <w:top w:val="single" w:color="000000" w:sz="8" w:space="0"/>
              <w:left w:val="none" w:color="000000" w:sz="4" w:space="0"/>
              <w:bottom w:val="single" w:color="000000" w:sz="4" w:space="0"/>
              <w:right w:val="none" w:color="000000" w:sz="4" w:space="0"/>
            </w:tcBorders>
            <w:tcW w:w="900" w:type="dxa"/>
            <w:vAlign w:val="center"/>
            <w:textDirection w:val="lrTb"/>
            <w:noWrap w:val="false"/>
          </w:tcPr>
          <w:p>
            <w:pPr>
              <w:rPr>
                <w:rFonts w:hint="eastAsia" w:ascii="宋体" w:hAnsi="宋体" w:cs="宋体"/>
                <w:szCs w:val="21"/>
              </w:rPr>
            </w:pPr>
            <w:r>
              <w:rPr>
                <w:rFonts w:hint="eastAsia" w:ascii="宋体" w:hAnsi="宋体" w:cs="宋体"/>
                <w:szCs w:val="21"/>
              </w:rPr>
              <w:t xml:space="preserve">最高限价单价/元</w:t>
            </w:r>
            <w:r/>
          </w:p>
        </w:tc>
        <w:tc>
          <w:tcPr>
            <w:tcBorders>
              <w:top w:val="single" w:color="000000" w:sz="8" w:space="0"/>
              <w:left w:val="none" w:color="000000" w:sz="4" w:space="0"/>
              <w:bottom w:val="single" w:color="000000" w:sz="4" w:space="0"/>
              <w:right w:val="none" w:color="000000" w:sz="4" w:space="0"/>
            </w:tcBorders>
            <w:tcW w:w="104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投标报价单价/元</w:t>
            </w:r>
            <w:r/>
          </w:p>
        </w:tc>
        <w:tc>
          <w:tcPr>
            <w:tcBorders>
              <w:top w:val="single" w:color="000000" w:sz="8" w:space="0"/>
              <w:left w:val="none" w:color="000000" w:sz="4" w:space="0"/>
              <w:bottom w:val="single" w:color="000000" w:sz="4" w:space="0"/>
              <w:right w:val="single" w:color="000000" w:sz="8" w:space="0"/>
            </w:tcBorders>
            <w:tcW w:w="94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投标报价合价/元</w:t>
            </w:r>
            <w:r/>
          </w:p>
        </w:tc>
      </w:tr>
      <w:tr>
        <w:trPr>
          <w:trHeight w:val="28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43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第一部分 巡视</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03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日常巡视（标段2）</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1、工作量计算规则：以“月”为单位，费用自行测算， 按报价结合考核结算</w:t>
            </w:r>
            <w:r>
              <w:rPr>
                <w:rFonts w:hint="eastAsia" w:ascii="宋体" w:hAnsi="宋体" w:cs="宋体"/>
                <w:szCs w:val="21"/>
              </w:rPr>
              <w:br/>
              <w:t xml:space="preserve">2、维护内容：专用巡视车辆（含驾驶人员）对区域范围内市政道路及设施进行日常巡视；专职道路管理人员或养护技术人员对道路（含人行道）及附属设施进行巡视</w:t>
            </w:r>
            <w:r>
              <w:rPr>
                <w:rFonts w:hint="eastAsia" w:ascii="宋体" w:hAnsi="宋体" w:cs="宋体"/>
                <w:szCs w:val="21"/>
              </w:rPr>
              <w:br/>
              <w:t xml:space="preserve">3、巡视频率根据招标文件要求，响应发包人考核</w:t>
            </w:r>
            <w:r>
              <w:rPr>
                <w:rFonts w:hint="eastAsia" w:ascii="宋体" w:hAnsi="宋体" w:cs="宋体"/>
                <w:szCs w:val="21"/>
              </w:rPr>
              <w:br/>
              <w:t xml:space="preserve">4、巡视内容：路面外观变化、结构变化、道路维护作业情况及附属设施等状况，路名牌清洁，做相应记录;</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34965.9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43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第二部分 零星维护</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90.69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C20砼基层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2、维护方式：拆除厚度20cm，拆除时不扰动未拆除部分，废料外运弃置；浇筑20cmC20混凝土，养生、清理现场</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217.65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C30砼基层修复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2、维护方式：拆除厚度20cm，拆除时不扰动未拆除部分，废料外运弃置；浇筑20cmC30混凝土，养生、清理现场</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222.22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2、维护方式：拆除厚度15cm，拆除时不扰动未拆除部分，废料外运弃置；摊铺C30干硬性碾压式混凝土，养生、清理现场</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162.86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2、维护方式：拆除厚度15cm，拆除时不扰动未拆除部分，废料外运弃置；摊铺C50干硬性碾压式混凝土，养生、清理现场</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181.95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2、维护方式：车行道中粒式沥青砼修复，增加抗车辙剂，剂量为沥青混合料0.3%（质量比）</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86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1、部位：粘层</w:t>
            </w:r>
            <w:r>
              <w:rPr>
                <w:rFonts w:hint="eastAsia" w:ascii="宋体" w:hAnsi="宋体" w:cs="宋体"/>
                <w:szCs w:val="21"/>
              </w:rPr>
              <w:br/>
              <w:t xml:space="preserve">2、材料品种：乳化沥青</w:t>
            </w:r>
            <w:r>
              <w:rPr>
                <w:rFonts w:hint="eastAsia" w:ascii="宋体" w:hAnsi="宋体" w:cs="宋体"/>
                <w:szCs w:val="21"/>
              </w:rPr>
              <w:br/>
              <w:t xml:space="preserve">3、喷油量：0.8kg/m2</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封层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2、维护方式：拆除原沥青封层，拆除废料拆除弃置；重新铺设封层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33000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124.14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车行道细粒式沥青砼AC-13C修复-厚度调整清单</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66000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车行道沥青玛蹄脂混合料SMA-13修复-厚度调整清单</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16.57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车行道细粒式沥青砼修复增加SBS改性剂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2、维护方式:车行道细粒式沥青砼修复，增加SBS改性剂</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33000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车行道细粒式沥青砼增加抗剥落剂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2、维护方式:车行道细粒式沥青砼修复，增加抗剥落剂，添加量（沥青）0.2%~0.4%(质量比）</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33000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0.41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车行道细粒式沥青砼增加聚酯纤维</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33000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车行道冷补沥青修复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1、工作量计算规则：按体积以“立方米”计</w:t>
            </w:r>
            <w:r>
              <w:rPr>
                <w:rFonts w:hint="eastAsia" w:ascii="宋体" w:hAnsi="宋体" w:cs="宋体"/>
                <w:szCs w:val="21"/>
              </w:rPr>
              <w:br/>
              <w:t xml:space="preserve">2、维护方式:坑洞清理、冷料沥青填筑坑洞、夯实</w:t>
            </w:r>
            <w:r>
              <w:rPr>
                <w:rFonts w:hint="eastAsia" w:ascii="宋体" w:hAnsi="宋体" w:cs="宋体"/>
                <w:szCs w:val="21"/>
              </w:rPr>
              <w:br/>
              <w:t xml:space="preserve">3、面层材质：冷补沥青混合料</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4262.59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74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2、维护方式:拆除厚度5cm沥青砼，拆除废料外运弃置，拆除时不扰动未拆除部分；重新修复路面，大空隙沥青砼灌注高流动性水泥基浆，压实，清理现场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355.87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车行道彩色陶瓷颗粒防滑路面修复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2、维护方式:路面清扫、刮涂树脂粘结料、撒布陶瓷颗粒、收集多余陶瓷颗粒等 </w:t>
            </w:r>
            <w:r>
              <w:rPr>
                <w:rFonts w:hint="eastAsia" w:ascii="宋体" w:hAnsi="宋体" w:cs="宋体"/>
                <w:szCs w:val="21"/>
              </w:rPr>
              <w:br/>
              <w:t xml:space="preserve">3、面层材质：改性环氧树脂高性能高分子聚合材料5mm</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161.39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2、维护方式:安装边缘钢筋、角隅加固钢筋、钢筋网。</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7603.23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车行道C20快凝混凝土砼坑洞修补</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2、部位：路面坑洞</w:t>
            </w:r>
            <w:r>
              <w:rPr>
                <w:rFonts w:hint="eastAsia" w:ascii="宋体" w:hAnsi="宋体" w:cs="宋体"/>
                <w:szCs w:val="21"/>
              </w:rPr>
              <w:br/>
              <w:t xml:space="preserve">3、修补材料：C20快凝混凝土</w:t>
            </w:r>
            <w:r>
              <w:rPr>
                <w:rFonts w:hint="eastAsia" w:ascii="宋体" w:hAnsi="宋体" w:cs="宋体"/>
                <w:szCs w:val="21"/>
              </w:rPr>
              <w:br/>
              <w:t xml:space="preserve">4、维护方式：凿除、清洗、配料、拌合、浇筑、捣固、养生、清理现场，拆除废料外运弃置</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1834.24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车行道C20碳纤维速凝混凝土坑洞修补</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2、部位：混凝土坑洞</w:t>
            </w:r>
            <w:r>
              <w:rPr>
                <w:rFonts w:hint="eastAsia" w:ascii="宋体" w:hAnsi="宋体" w:cs="宋体"/>
                <w:szCs w:val="21"/>
              </w:rPr>
              <w:br/>
              <w:t xml:space="preserve">3、修补材料：C20碳纤维速凝混凝土</w:t>
            </w:r>
            <w:r>
              <w:rPr>
                <w:rFonts w:hint="eastAsia" w:ascii="宋体" w:hAnsi="宋体" w:cs="宋体"/>
                <w:szCs w:val="21"/>
              </w:rPr>
              <w:br/>
              <w:t xml:space="preserve">4、维护方式：翻挖、切边、整平、铺筑、振实、抹平、养护、切缝、清理现场，拆除废料外运弃置</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1577.39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4.35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23.76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21.84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29.58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11.61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130.63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89.51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112.13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167.17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现状人行道仿石陶瓷透水砖破损，断裂、破旧部位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200.48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人行道路面砖修复-库存料</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砼路面砖、砼透水砖等道板松动，错块，凸出，沉陷部位</w:t>
            </w:r>
            <w:r>
              <w:rPr>
                <w:rFonts w:hint="eastAsia" w:ascii="宋体" w:hAnsi="宋体" w:cs="宋体"/>
                <w:szCs w:val="21"/>
              </w:rPr>
              <w:br/>
              <w:t xml:space="preserve">2、工作内容：拆除原有面砖及粘结层；拆除废料清理并运输弃置；3cm干硬性水泥砂浆重新铺设，使用库存料路面砖铺设，含出库、运输</w:t>
            </w:r>
            <w:r>
              <w:rPr>
                <w:rFonts w:hint="eastAsia" w:ascii="宋体" w:hAnsi="宋体" w:cs="宋体"/>
                <w:szCs w:val="21"/>
              </w:rPr>
              <w:br/>
              <w:t xml:space="preserve">3、材料、材质：库存材料</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2、工作内容：拆除原有 广场砖及清理，整理归集，用于铺设恢复；拆除废料清理并外运弃置；原垫层找平,3cm干硬性水泥砂浆重新铺设 广场砖，使用原广场砖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120.24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2、工作内容：对应清单“人行道广场砖面层修复”，旧料外运弃置；使用新购广场砖</w:t>
            </w:r>
            <w:r>
              <w:rPr>
                <w:rFonts w:hint="eastAsia" w:ascii="宋体" w:hAnsi="宋体" w:cs="宋体"/>
                <w:szCs w:val="21"/>
              </w:rPr>
              <w:br/>
              <w:t xml:space="preserve">3、材料、材质：100*100mm广场砖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199.43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293.7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3、材料、材质：新购4cm金山石石板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1036.7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243.04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62.24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2、工作内容：对应清单“人行道青砖修复”，旧料外运弃置；铺设新购青砖</w:t>
            </w:r>
            <w:r>
              <w:rPr>
                <w:rFonts w:hint="eastAsia" w:ascii="宋体" w:hAnsi="宋体" w:cs="宋体"/>
                <w:szCs w:val="21"/>
              </w:rPr>
              <w:br/>
              <w:t xml:space="preserve">3、材料、材质：4cm厚方形青砖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386.71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人行道青砖侧铺修复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73.01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青砖破损，断裂、破旧部位</w:t>
            </w:r>
            <w:r>
              <w:rPr>
                <w:rFonts w:hint="eastAsia" w:ascii="宋体" w:hAnsi="宋体" w:cs="宋体"/>
                <w:szCs w:val="21"/>
              </w:rPr>
              <w:br/>
              <w:t xml:space="preserve">2、工作内容：对应清单“人行道青砖侧铺修复”，旧料外运弃置；铺设新购青砖</w:t>
            </w:r>
            <w:r>
              <w:rPr>
                <w:rFonts w:hint="eastAsia" w:ascii="宋体" w:hAnsi="宋体" w:cs="宋体"/>
                <w:szCs w:val="21"/>
              </w:rPr>
              <w:br/>
              <w:t xml:space="preserve">3、材料、材质：新购青砖21.5*10.5*4cm</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389.66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2、工作内容：拆除原有植草砖及粘结层，整理归集用于恢复路面；拆除废料清理并运输弃置；原垫层找平,使用原植草砖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48.37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2、工作内容：对应清单“植草砖块料面层修复”，旧料外运弃置；铺设新购植草砖</w:t>
            </w:r>
            <w:r>
              <w:rPr>
                <w:rFonts w:hint="eastAsia" w:ascii="宋体" w:hAnsi="宋体" w:cs="宋体"/>
                <w:szCs w:val="21"/>
              </w:rPr>
              <w:br/>
              <w:t xml:space="preserve">3、材料、材质：新购植草砖80mm厚植草砖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107.79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卵石面层修复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1、部位:卵石园路破损，松动、卵石脱离、破旧等部位</w:t>
            </w:r>
            <w:r>
              <w:rPr>
                <w:rFonts w:hint="eastAsia" w:ascii="宋体" w:hAnsi="宋体" w:cs="宋体"/>
                <w:szCs w:val="21"/>
              </w:rPr>
              <w:br/>
              <w:t xml:space="preserve">2、工作内容：拆除原有卵石及粘结层路面，拆除废料清理并运输弃置；重新铺设卵石园路</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178.93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仿石陶瓷砖防滑处理</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1、部位:仿石陶瓷砖人行道</w:t>
            </w:r>
            <w:r>
              <w:rPr>
                <w:rFonts w:hint="eastAsia" w:ascii="宋体" w:hAnsi="宋体" w:cs="宋体"/>
                <w:szCs w:val="21"/>
              </w:rPr>
              <w:br/>
              <w:t xml:space="preserve">2、工作内容：清理地面，专用药水涂抹，清理表面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花岗岩道板防滑处理</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1、部位:花岗岩道板人行道</w:t>
            </w:r>
            <w:r>
              <w:rPr>
                <w:rFonts w:hint="eastAsia" w:ascii="宋体" w:hAnsi="宋体" w:cs="宋体"/>
                <w:szCs w:val="21"/>
              </w:rPr>
              <w:br/>
              <w:t xml:space="preserve">2、工作内容：火烧处理花岗岩石板面，清理表面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20.18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41.14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59.25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44.24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42.84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36.99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47.81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30.62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40.48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37.51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36.58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78.81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安装石球：新购直径50cm花岗岩石球</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1、工作内容：拆除、移除原损坏石球，旧料外运弃置；安砌花岗岩石球（直径50cm），购置，安砌、固定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537.94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安装石球：新购直径60cm花岗岩石球</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1、工作内容：拆除、移除原损坏石球，旧料外运弃置；安砌花岗岩石球（直径60cm），购置，安砌、固定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941.39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移位石球车挡</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1、工作内容：花岗岩石球车挡，移位，安砌、固定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车阻石</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1、工作内容：购置花岗岩车阻石，φ10cm钢管焊接钢板预埋件安装</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3、材料品种：花岗岩车阻石，D=30cm，高60cm，样式按现场或采购人要求，尺寸不一致，按体积折算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447.5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花岗岩车档修复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1、工作内容：花岗岩车档拆除、安装、扶正、连接固定费用</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U型桩修复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1、工作内容：包括隔离桩扶正固定、除锈、涂漆、贴反光膜等所有费用</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透水混凝土</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1、工作内容：拆除原透水砼，拆除料外运弃置，重新浇筑透水砼</w:t>
            </w:r>
            <w:r>
              <w:rPr>
                <w:rFonts w:hint="eastAsia" w:ascii="宋体" w:hAnsi="宋体" w:cs="宋体"/>
                <w:szCs w:val="21"/>
              </w:rPr>
              <w:br/>
              <w:t xml:space="preserve">2、工作量计算规则：按面积以“平方米”计，厚度不一致折算处理</w:t>
            </w:r>
            <w:r>
              <w:rPr>
                <w:rFonts w:hint="eastAsia" w:ascii="宋体" w:hAnsi="宋体" w:cs="宋体"/>
                <w:szCs w:val="21"/>
              </w:rPr>
              <w:br/>
              <w:t xml:space="preserve">3、材料品种：15cm透水砼基础</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拆除刚性路面路基材料</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1、结构形式:刚性路面路基材料，（钢筋砼或砼）综合考虑</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354.51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拆除半刚性路面路基材料</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1、结构形式:半刚性路面路基材料</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319.09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树池盖板（箅子）</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1、材质、规格：130*130*3cm厚球墨铸铁树池篦子</w:t>
            </w:r>
            <w:r>
              <w:rPr>
                <w:rFonts w:hint="eastAsia" w:ascii="宋体" w:hAnsi="宋体" w:cs="宋体"/>
                <w:szCs w:val="21"/>
              </w:rPr>
              <w:br/>
              <w:t xml:space="preserve">2、工作内容：拆除、弃置元树池篦子，更换新树池篦子</w:t>
            </w:r>
            <w:r>
              <w:rPr>
                <w:rFonts w:hint="eastAsia" w:ascii="宋体" w:hAnsi="宋体" w:cs="宋体"/>
                <w:szCs w:val="21"/>
              </w:rPr>
              <w:br/>
              <w:t xml:space="preserve">3、工作量计算规则：按套计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874.15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45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检查井升降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1、材料品种：砖砌检查井，雨水污水综合考虑，防沉降井盖座850*190（高度190mm)，详见设计，D400级，雨水井盖、污水井盖文字、图案按设计要求</w:t>
            </w:r>
            <w:r>
              <w:rPr>
                <w:rFonts w:hint="eastAsia" w:ascii="宋体" w:hAnsi="宋体" w:cs="宋体"/>
                <w:szCs w:val="21"/>
              </w:rPr>
              <w:br/>
              <w:t xml:space="preserve">2、工作内容：拆除旧窨井、雨水井框盖及升砌砖墙、抹内墙、消除废料,含运弃；安放井框盖，井盖座为更换新防沉降井盖座</w:t>
            </w:r>
            <w:r>
              <w:rPr>
                <w:rFonts w:hint="eastAsia" w:ascii="宋体" w:hAnsi="宋体" w:cs="宋体"/>
                <w:szCs w:val="21"/>
              </w:rPr>
              <w:br/>
              <w:t xml:space="preserve">3、平均升（降）高度：投标人自行考虑</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1723.79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人工挖土（含外运）</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2、工作内容：人工挖土、抛土、修正底边、边坡</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163.96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机械挖土（含外运）</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2、工作内容：挖掘机挖土、装车、清理余土、人工配合修整路槽，清理等，含土方运输弃置</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135.33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1、结构形式:内弯型墨绿色镀锌管烤漆镀锌管，表面烤漆绿化围栏，高1.0米，尺寸不一致按此折算处理</w:t>
            </w:r>
            <w:r>
              <w:rPr>
                <w:rFonts w:hint="eastAsia" w:ascii="宋体" w:hAnsi="宋体" w:cs="宋体"/>
                <w:szCs w:val="21"/>
              </w:rPr>
              <w:br/>
              <w:t xml:space="preserve">2、工作内容：包括基础、围栏安装等所有费用，挖土费不单独计</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280.51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1、结构形式:现场围挡</w:t>
            </w:r>
            <w:r>
              <w:rPr>
                <w:rFonts w:hint="eastAsia" w:ascii="宋体" w:hAnsi="宋体" w:cs="宋体"/>
                <w:szCs w:val="21"/>
              </w:rPr>
              <w:br/>
              <w:t xml:space="preserve">2、工作内容：2.5米以下，现场绿化围栏固定、连接、扶正等</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2、工作内容：开挖基坑，埋置隔离桩，基础固定</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95.46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2、工作内容：隔离桩扶正固定、除锈、涂漆、贴反光膜等所有费用</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回填方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1、结构形式:回填土方</w:t>
            </w:r>
            <w:r>
              <w:rPr>
                <w:rFonts w:hint="eastAsia" w:ascii="宋体" w:hAnsi="宋体" w:cs="宋体"/>
                <w:szCs w:val="21"/>
              </w:rPr>
              <w:br/>
              <w:t xml:space="preserve">2、工作内容：坑槽回填，回填采用素土回填，包括土源</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49.29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460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路名牌新建或整体更换</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1、结构形式:立杆式双面路名牌，含表面贴膜，立杆安装等全套路名牌</w:t>
            </w:r>
            <w:r>
              <w:rPr>
                <w:rFonts w:hint="eastAsia" w:ascii="宋体" w:hAnsi="宋体" w:cs="宋体"/>
                <w:szCs w:val="21"/>
              </w:rPr>
              <w:br/>
              <w:t xml:space="preserve">2、规格、尺寸：126cm*36cm铝板（1.5mm厚），整套路牌喷塑、装配零部件，铝制特型材7cm*3cm,壁厚1.2mm，ABS塑料链接弯头，定做塑料件，70*50*3mm方钢管，除锈镀锌处理、厚8mm底板，配套底座等整套路名牌</w:t>
            </w:r>
            <w:r>
              <w:rPr>
                <w:rFonts w:hint="eastAsia" w:ascii="宋体" w:hAnsi="宋体" w:cs="宋体"/>
                <w:szCs w:val="21"/>
              </w:rPr>
              <w:br/>
              <w:t xml:space="preserve">3、工作内容：含挖土坑，立杆基础、安装路名牌、清理现场等</w:t>
            </w:r>
            <w:r>
              <w:rPr>
                <w:rFonts w:hint="eastAsia" w:ascii="宋体" w:hAnsi="宋体" w:cs="宋体"/>
                <w:szCs w:val="21"/>
              </w:rPr>
              <w:br/>
              <w:t xml:space="preserve">4、工作量计量规则：按套”计算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1770.61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路名牌更换(更换牌板）</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1、结构形式:双面路名牌，单面厚度2mm、1250*350 mm</w:t>
            </w:r>
            <w:r>
              <w:rPr>
                <w:rFonts w:hint="eastAsia" w:ascii="宋体" w:hAnsi="宋体" w:cs="宋体"/>
                <w:szCs w:val="21"/>
              </w:rPr>
              <w:br/>
              <w:t xml:space="preserve">2、规格、尺寸：126cm*36cm铝板（1.5mm厚），整套路牌喷塑、装配零部件，铝制特型材7cm*3cm,壁厚1.2mm，ABS塑料链接弯头，定做塑料件等</w:t>
            </w:r>
            <w:r>
              <w:rPr>
                <w:rFonts w:hint="eastAsia" w:ascii="宋体" w:hAnsi="宋体" w:cs="宋体"/>
                <w:szCs w:val="21"/>
              </w:rPr>
              <w:br/>
              <w:t xml:space="preserve">3、工作内容：拆除原损坏路名牌，更换新路名牌</w:t>
            </w:r>
            <w:r>
              <w:rPr>
                <w:rFonts w:hint="eastAsia" w:ascii="宋体" w:hAnsi="宋体" w:cs="宋体"/>
                <w:szCs w:val="21"/>
              </w:rPr>
              <w:br/>
              <w:t xml:space="preserve">4、工作量计量规则：按个数以“块”计算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1546.86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路名牌贴膜</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1、结构形式:双面路名牌，更新表面膜，底膜采用反光膜（超强级）、字膜采用方光膜（超强级）</w:t>
            </w:r>
            <w:r>
              <w:rPr>
                <w:rFonts w:hint="eastAsia" w:ascii="宋体" w:hAnsi="宋体" w:cs="宋体"/>
                <w:szCs w:val="21"/>
              </w:rPr>
              <w:br/>
              <w:t xml:space="preserve">2、工作内容：清除路名牌表面旧贴膜，重新贴面</w:t>
            </w:r>
            <w:r>
              <w:rPr>
                <w:rFonts w:hint="eastAsia" w:ascii="宋体" w:hAnsi="宋体" w:cs="宋体"/>
                <w:szCs w:val="21"/>
              </w:rPr>
              <w:br/>
              <w:t xml:space="preserve">3、工作量计量规则：按个数以“块”计算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174.83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路名牌除锈、油漆、加固</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2、工作内容：路名牌除锈，油漆、加固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94.44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路名牌除锈、加固</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78.75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路名牌更换立杆</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1、结构形式:现状路名牌，单根70*50*3mm方钢管立杆，表面防锈烤漆，立柱高2米</w:t>
            </w:r>
            <w:r>
              <w:rPr>
                <w:rFonts w:hint="eastAsia" w:ascii="宋体" w:hAnsi="宋体" w:cs="宋体"/>
                <w:szCs w:val="21"/>
              </w:rPr>
              <w:br/>
              <w:t xml:space="preserve">2、工作内容：更换路名牌立杆</w:t>
            </w:r>
            <w:r>
              <w:rPr>
                <w:rFonts w:hint="eastAsia" w:ascii="宋体" w:hAnsi="宋体" w:cs="宋体"/>
                <w:szCs w:val="21"/>
              </w:rPr>
              <w:br/>
              <w:t xml:space="preserve">3、工作量计量规则：按个以“根”计算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266.57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57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热熔标线</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1、材料品种：热熔标线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57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常温标线</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1、材料品种：常温标线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24.21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清除标线</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1、清除方法：综合考虑</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80.69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防滑条</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1、规格、材质：防滑铜条 3×40×1mm</w:t>
            </w:r>
            <w:r>
              <w:rPr>
                <w:rFonts w:hint="eastAsia" w:ascii="宋体" w:hAnsi="宋体" w:cs="宋体"/>
                <w:szCs w:val="21"/>
              </w:rPr>
              <w:br/>
              <w:t xml:space="preserve">2、工作内容：拆除原台阶金属防滑条，更换新防滑条</w:t>
            </w:r>
            <w:r>
              <w:rPr>
                <w:rFonts w:hint="eastAsia" w:ascii="宋体" w:hAnsi="宋体" w:cs="宋体"/>
                <w:szCs w:val="21"/>
              </w:rPr>
              <w:br/>
              <w:t xml:space="preserve">3、工作量计算规则：按米计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479.34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45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附着式标志牌</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2、材质、规格尺寸：圆形、三角形、矩形标志牌等，报价包括使用、维护、损耗等费用，材料残值归服务人。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389.77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45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支架式标志牌</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2、材质、规格尺寸：160*140cm标志牌，报价包括使用、维护、损耗等费用，材料残值归服务人。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4、工作量计算规则：按“块”计，尺寸不一按面积折算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57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计日工</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按工日计，每个工日8个小时，不足8个小时折算工日</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工日</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172.14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栏杆（更新）</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3、工作内容：拆除原破损栏凳，清理现场，废料弃置，材料残值归服务人</w:t>
            </w:r>
            <w:r>
              <w:rPr>
                <w:rFonts w:hint="eastAsia" w:ascii="宋体" w:hAnsi="宋体" w:cs="宋体"/>
                <w:szCs w:val="21"/>
              </w:rPr>
              <w:br/>
              <w:t xml:space="preserve">4、工作量计算规则：按花岗岩体积以“立方米”计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6495.92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栏杆（维修）</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3、工作内容：破损栏凳维修，松动脱落部位粘结加固</w:t>
            </w:r>
            <w:r>
              <w:rPr>
                <w:rFonts w:hint="eastAsia" w:ascii="宋体" w:hAnsi="宋体" w:cs="宋体"/>
                <w:szCs w:val="21"/>
              </w:rPr>
              <w:br/>
              <w:t xml:space="preserve">4、工作量计算规则：按栏凳长度以“米”计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256.66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104</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设施维护手续办理费用</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1、用于因设施维护并按采购人要求进行绿化迁移、管线迁移等产生的费用</w:t>
            </w:r>
            <w:r>
              <w:rPr>
                <w:rFonts w:hint="eastAsia" w:ascii="宋体" w:hAnsi="宋体" w:cs="宋体"/>
                <w:szCs w:val="21"/>
              </w:rPr>
              <w:br/>
              <w:t xml:space="preserve">2、</w:t>
            </w:r>
            <w:r>
              <w:rPr>
                <w:rFonts w:hint="eastAsia" w:ascii="宋体" w:hAnsi="宋体" w:cs="宋体"/>
                <w:b/>
                <w:bCs/>
                <w:szCs w:val="21"/>
              </w:rPr>
              <w:t xml:space="preserve">不可竞争</w:t>
            </w:r>
            <w:r>
              <w:rPr>
                <w:rFonts w:hint="eastAsia" w:ascii="宋体" w:hAnsi="宋体" w:cs="宋体"/>
                <w:szCs w:val="21"/>
              </w:rPr>
              <w:t xml:space="preserve">，按实结算</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rPr>
                <w:rFonts w:hint="eastAsia" w:ascii="宋体" w:hAnsi="宋体" w:cs="宋体"/>
                <w:szCs w:val="21"/>
              </w:rPr>
            </w:pPr>
            <w:r>
              <w:rPr>
                <w:rFonts w:hint="eastAsia" w:ascii="宋体" w:hAnsi="宋体" w:cs="宋体"/>
                <w:szCs w:val="21"/>
              </w:rPr>
              <w:t xml:space="preserve">10000</w:t>
            </w:r>
            <w:r/>
          </w:p>
        </w:tc>
      </w:tr>
      <w:tr>
        <w:trPr>
          <w:trHeight w:val="28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43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第三部分 专项维护</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车行道水泥稳定碎石摊铺</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2、水泥稳定碎石厚：20cm水泥稳定碎石</w:t>
            </w:r>
            <w:r>
              <w:rPr>
                <w:rFonts w:hint="eastAsia" w:ascii="宋体" w:hAnsi="宋体" w:cs="宋体"/>
                <w:szCs w:val="21"/>
              </w:rPr>
              <w:br/>
              <w:t xml:space="preserve">2、维护内容：拆除20cm原水泥稳定碎石基层，废料外运弃置；拆除时不扰动未拆除部分；摊铺水泥稳定碎石，水泥剂量4%，覆盖养生</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134.3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C20混凝土基层修复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2、厚度：20cmC20砼基层</w:t>
            </w:r>
            <w:r>
              <w:rPr>
                <w:rFonts w:hint="eastAsia" w:ascii="宋体" w:hAnsi="宋体" w:cs="宋体"/>
                <w:szCs w:val="21"/>
              </w:rPr>
              <w:br/>
              <w:t xml:space="preserve">3、维护内容：拆除20cm原混凝土面层，废料外运弃置；拆除时不扰动未拆除部分；浇筑C20水泥混凝土，覆盖养生</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163.14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C30混凝土基层修复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2、厚度：20cmC30砼基层</w:t>
            </w:r>
            <w:r>
              <w:rPr>
                <w:rFonts w:hint="eastAsia" w:ascii="宋体" w:hAnsi="宋体" w:cs="宋体"/>
                <w:szCs w:val="21"/>
              </w:rPr>
              <w:br/>
              <w:t xml:space="preserve">3、维护内容：拆除20cm原混凝土面层，废料外运弃置；拆除时不扰动未拆除部分；浇筑C30水泥混凝土，覆盖养生</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166.94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2、厚度：15cm干硬性碾压式C30砼</w:t>
            </w:r>
            <w:r>
              <w:rPr>
                <w:rFonts w:hint="eastAsia" w:ascii="宋体" w:hAnsi="宋体" w:cs="宋体"/>
                <w:szCs w:val="21"/>
              </w:rPr>
              <w:br/>
              <w:t xml:space="preserve">3、维护内容：拆除厚度15cm，废料外运弃置；拆除时不扰动未拆除部分；摊铺C30干硬性碾压式混凝土，养生、清理现场</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117.91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2、厚度：15cm干硬性碾压式C50砼</w:t>
            </w:r>
            <w:r>
              <w:rPr>
                <w:rFonts w:hint="eastAsia" w:ascii="宋体" w:hAnsi="宋体" w:cs="宋体"/>
                <w:szCs w:val="21"/>
              </w:rPr>
              <w:br/>
              <w:t xml:space="preserve">3、维护内容：拆除厚度15cm，废料外运弃置；拆除时不扰动未拆除部分；摊铺C50干硬性碾压式混凝土，养生、清理现场</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133.92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2、维护方式：铣刨厚度6cm沥青砼，拆除时不扰动未拆除部分；重新修复沥青砼路面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84.56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2、维护方式：车行道中粒式沥青砼修复，增加抗车辙剂，添加量0.2~0.4%（质量比）</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6.51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77.18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沥青砼AC-13C修复-厚度调整清单</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9.91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沥青玛蹄脂碎石SMA-13修复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88.69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沥青玛蹄脂混合料SMA-13修复-厚度调整清单</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11.35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沥青砼修复-增加SBS改性剂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2、维护方式：对应清单“车行道细粒式沥青砼AC-13C修复”或“沥青玛蹄脂碎石SMA-13修复”，细粒式沥青砼AC-13C修复，增加SBS改性剂</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沥青砼修复-增加抗剥落剂</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2、维护方式：对应清单“车行道细粒式沥青砼AC-13C修复”或“沥青玛蹄脂碎石SMA-13修复”，增加抗剥落剂，添加量（沥青）0.2%~0.4%(质量比）</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0.33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沥青砼修复-增加聚酯纤维</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车行道封层修复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74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2、维护方式:拆除厚度5cm沥青砼，拆除时不扰动未拆除部分,拆除废料外运弃置；重新修复路面，大空隙沥青砼关注高流动性水泥基浆，压实，清理现场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21.39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2、维护内容：清扫路基，运油、加热、洒布机（人工手泵）喷油、移动挡板（或遮盖物）保护侧缘石</w:t>
            </w:r>
            <w:r>
              <w:rPr>
                <w:rFonts w:hint="eastAsia" w:ascii="宋体" w:hAnsi="宋体" w:cs="宋体"/>
                <w:szCs w:val="21"/>
              </w:rPr>
              <w:br/>
              <w:t xml:space="preserve">3、面层材质：0.8kg/m2乳化沥青</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25.57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15.56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8.12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2、维护内容：钢筋除锈， 安装角隅加固钢筋、钢筋网</w:t>
            </w:r>
            <w:r>
              <w:rPr>
                <w:rFonts w:hint="eastAsia" w:ascii="宋体" w:hAnsi="宋体" w:cs="宋体"/>
                <w:szCs w:val="21"/>
              </w:rPr>
              <w:br/>
              <w:t xml:space="preserve">3、面层材质：HRB400钢筋</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6446.74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135.03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101.54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40.95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71.57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129.73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160.12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72.66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150.7</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230.78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190.66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34.62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62.16</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38.82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21.52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52.11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32.23</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40.81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135.84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3、材料、材质：新购30*12.5*100cm花岗岩侧石(圆弧形）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138.2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22.9</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66.25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雨水口新砌</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1、雨水箅子及圈口材质、型号、规格：350*550球墨铸铁雨水井蓖座</w:t>
            </w:r>
            <w:r>
              <w:rPr>
                <w:rFonts w:hint="eastAsia" w:ascii="宋体" w:hAnsi="宋体" w:cs="宋体"/>
                <w:szCs w:val="21"/>
              </w:rPr>
              <w:br/>
              <w:t xml:space="preserve">2、垫层、基础材质及厚度：碎石垫层，C25混凝土基础</w:t>
            </w:r>
            <w:r>
              <w:rPr>
                <w:rFonts w:hint="eastAsia" w:ascii="宋体" w:hAnsi="宋体" w:cs="宋体"/>
                <w:szCs w:val="21"/>
              </w:rPr>
              <w:br/>
              <w:t xml:space="preserve">3、砌筑材料品种、规格：MU10水泥砂浆砖砌MU10砖</w:t>
            </w:r>
            <w:r>
              <w:rPr>
                <w:rFonts w:hint="eastAsia" w:ascii="宋体" w:hAnsi="宋体" w:cs="宋体"/>
                <w:szCs w:val="21"/>
              </w:rPr>
              <w:br/>
              <w:t xml:space="preserve">4、砂浆强度等级及配合比：1：2水泥砂浆抹面</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1398.5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执勤费</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1、工作量计算规则：以“人*月”为单位，费用自行测算， 按实际数量结算</w:t>
            </w:r>
            <w:r>
              <w:rPr>
                <w:rFonts w:hint="eastAsia" w:ascii="宋体" w:hAnsi="宋体" w:cs="宋体"/>
                <w:szCs w:val="21"/>
              </w:rPr>
              <w:br/>
              <w:t xml:space="preserve">2、维护内容：交通执勤</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人*月</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固定围挡</w:t>
            </w:r>
            <w:r/>
          </w:p>
        </w:tc>
        <w:tc>
          <w:tcPr>
            <w:tcBorders>
              <w:top w:val="none" w:color="000000" w:sz="4" w:space="0"/>
              <w:left w:val="none" w:color="000000" w:sz="4" w:space="0"/>
              <w:bottom w:val="single" w:color="000000" w:sz="4" w:space="0"/>
              <w:right w:val="single" w:color="000000"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1、工作量计算规则：按长以“米”计</w:t>
            </w:r>
            <w:r>
              <w:rPr>
                <w:rFonts w:hint="eastAsia" w:ascii="宋体" w:hAnsi="宋体" w:cs="宋体"/>
                <w:szCs w:val="21"/>
              </w:rPr>
              <w:br/>
              <w:t xml:space="preserve">2、维护内容：安装高标准围挡、维护、维修围挡、拆除围挡，含喷淋、公益广告、宣传布告、绿挂等</w:t>
            </w:r>
            <w:r>
              <w:rPr>
                <w:rFonts w:hint="eastAsia" w:ascii="宋体" w:hAnsi="宋体" w:cs="宋体"/>
                <w:szCs w:val="21"/>
              </w:rPr>
              <w:br/>
              <w:t xml:space="preserve">3、材质：围挡规格满足苏州市区相关规定及采购人要求</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325.38</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auto" w:sz="4" w:space="0"/>
              <w:left w:val="none" w:color="000000" w:sz="4" w:space="0"/>
              <w:bottom w:val="single" w:color="auto" w:sz="4" w:space="0"/>
              <w:right w:val="single" w:color="auto" w:sz="4" w:space="0"/>
            </w:tcBorders>
            <w:tcW w:w="43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第四部分 应急管理费</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auto" w:sz="4" w:space="0"/>
              <w:bottom w:val="single" w:color="auto" w:sz="4" w:space="0"/>
              <w:right w:val="single" w:color="auto"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rPr>
                <w:rFonts w:hint="eastAsia" w:ascii="宋体" w:hAnsi="宋体" w:cs="宋体"/>
                <w:szCs w:val="21"/>
              </w:rPr>
            </w:pPr>
            <w:r>
              <w:rPr>
                <w:rFonts w:hint="eastAsia" w:ascii="宋体" w:hAnsi="宋体" w:cs="宋体"/>
                <w:szCs w:val="21"/>
              </w:rPr>
              <w:t xml:space="preserve">应急管理费</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rPr>
                <w:rFonts w:hint="eastAsia" w:ascii="宋体" w:hAnsi="宋体" w:cs="宋体"/>
                <w:szCs w:val="21"/>
              </w:rPr>
            </w:pPr>
            <w:r>
              <w:rPr>
                <w:rFonts w:hint="eastAsia" w:ascii="宋体" w:hAnsi="宋体" w:cs="宋体"/>
                <w:szCs w:val="21"/>
              </w:rPr>
              <w:t xml:space="preserve">雨季、冰冻季和台风暴雨等灾害性天气气候的养护值班及应急处理；紧急、特殊情况的应急处理，应急演练、临时安排等（以招标文件及采购人要求为准）</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00"/>
        </w:trPr>
        <w:tc>
          <w:tcPr>
            <w:gridSpan w:val="6"/>
            <w:tcBorders>
              <w:top w:val="none" w:color="000000" w:sz="4" w:space="0"/>
              <w:left w:val="single" w:color="000000" w:sz="8" w:space="0"/>
              <w:bottom w:val="single" w:color="000000" w:sz="8" w:space="0"/>
              <w:right w:val="single" w:color="000000" w:sz="4" w:space="0"/>
            </w:tcBorders>
            <w:tcW w:w="71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Borders>
              <w:top w:val="none" w:color="000000" w:sz="4" w:space="0"/>
              <w:left w:val="none" w:color="000000" w:sz="4" w:space="0"/>
              <w:bottom w:val="single" w:color="000000" w:sz="8" w:space="0"/>
              <w:right w:val="single" w:color="000000" w:sz="4" w:space="0"/>
            </w:tcBorders>
            <w:tcW w:w="10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4" w:space="0"/>
            </w:tcBorders>
            <w:tcW w:w="9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bl>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b/>
          <w:bCs/>
          <w:szCs w:val="21"/>
        </w:rPr>
      </w:pPr>
      <w:r>
        <w:rPr>
          <w:rFonts w:hint="eastAsia" w:ascii="宋体" w:hAnsi="宋体"/>
          <w:b/>
          <w:bCs/>
          <w:szCs w:val="21"/>
        </w:rPr>
        <w:t xml:space="preserve">标段号：</w:t>
      </w:r>
      <w:r>
        <w:rPr>
          <w:rFonts w:hint="eastAsia" w:ascii="宋体" w:hAnsi="宋体"/>
          <w:b/>
          <w:bCs/>
          <w:szCs w:val="21"/>
        </w:rPr>
        <w:t xml:space="preserve">3</w:t>
      </w:r>
      <w:r/>
    </w:p>
    <w:p>
      <w:pPr>
        <w:spacing w:line="400" w:lineRule="exact"/>
        <w:rPr>
          <w:rFonts w:hint="eastAsia" w:ascii="宋体" w:hAnsi="宋体"/>
          <w:b/>
          <w:bCs/>
          <w:szCs w:val="21"/>
        </w:rPr>
      </w:pPr>
      <w:r>
        <w:rPr>
          <w:rFonts w:hint="eastAsia" w:ascii="宋体" w:hAnsi="宋体"/>
          <w:b/>
          <w:bCs/>
          <w:szCs w:val="21"/>
        </w:rPr>
        <w:t xml:space="preserve">标段名称：2026-2027年度市政设施维护服务项目（道路</w:t>
      </w:r>
      <w:r>
        <w:rPr>
          <w:rFonts w:hint="eastAsia" w:ascii="宋体" w:hAnsi="宋体"/>
          <w:b/>
          <w:bCs/>
          <w:szCs w:val="21"/>
        </w:rPr>
        <w:t xml:space="preserve">3</w:t>
      </w:r>
      <w:r>
        <w:rPr>
          <w:rFonts w:hint="eastAsia" w:ascii="宋体" w:hAnsi="宋体"/>
          <w:b/>
          <w:bCs/>
          <w:szCs w:val="21"/>
        </w:rPr>
        <w:t xml:space="preserve">标）</w:t>
      </w:r>
      <w:r/>
    </w:p>
    <w:tbl>
      <w:tblPr>
        <w:tblW w:w="9480" w:type="dxa"/>
        <w:tblLook w:val="04A0" w:firstRow="1" w:lastRow="0" w:firstColumn="1" w:lastColumn="0" w:noHBand="0" w:noVBand="1"/>
      </w:tblPr>
      <w:tblGrid>
        <w:gridCol w:w="657"/>
        <w:gridCol w:w="1183"/>
        <w:gridCol w:w="3537"/>
        <w:gridCol w:w="633"/>
        <w:gridCol w:w="741"/>
        <w:gridCol w:w="1056"/>
        <w:gridCol w:w="914"/>
        <w:gridCol w:w="759"/>
      </w:tblGrid>
      <w:tr>
        <w:trPr>
          <w:trHeight w:val="864"/>
        </w:trPr>
        <w:tc>
          <w:tcPr>
            <w:tcBorders>
              <w:top w:val="single" w:color="000000" w:sz="8"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000000" w:sz="8" w:space="0"/>
              <w:left w:val="non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Borders>
              <w:top w:val="single" w:color="000000" w:sz="8" w:space="0"/>
              <w:left w:val="none" w:color="000000" w:sz="4" w:space="0"/>
              <w:bottom w:val="single" w:color="000000" w:sz="4" w:space="0"/>
              <w:right w:val="single" w:color="000000" w:sz="4" w:space="0"/>
            </w:tcBorders>
            <w:tcW w:w="36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项目描述</w:t>
            </w:r>
            <w:r/>
          </w:p>
        </w:tc>
        <w:tc>
          <w:tcPr>
            <w:tcBorders>
              <w:top w:val="single" w:color="000000" w:sz="8"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单位</w:t>
            </w:r>
            <w:r/>
          </w:p>
        </w:tc>
        <w:tc>
          <w:tcPr>
            <w:tcBorders>
              <w:top w:val="single" w:color="000000" w:sz="8" w:space="0"/>
              <w:left w:val="none" w:color="000000" w:sz="4" w:space="0"/>
              <w:bottom w:val="single" w:color="000000" w:sz="4" w:space="0"/>
              <w:right w:val="non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rPr>
                <w:rFonts w:hint="eastAsia" w:ascii="宋体" w:hAnsi="宋体" w:cs="宋体"/>
                <w:szCs w:val="21"/>
              </w:rPr>
            </w:pPr>
            <w:r>
              <w:rPr>
                <w:rFonts w:hint="eastAsia" w:ascii="宋体" w:hAnsi="宋体" w:cs="宋体"/>
                <w:szCs w:val="21"/>
              </w:rPr>
              <w:t xml:space="preserve">最高限价单价/元</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投标报价单价/元</w:t>
            </w:r>
            <w:r/>
          </w:p>
        </w:tc>
        <w:tc>
          <w:tcPr>
            <w:tcBorders>
              <w:top w:val="single" w:color="auto" w:sz="4" w:space="0"/>
              <w:left w:val="none" w:color="000000" w:sz="4" w:space="0"/>
              <w:bottom w:val="single" w:color="auto" w:sz="4" w:space="0"/>
              <w:right w:val="single" w:color="auto" w:sz="4" w:space="0"/>
            </w:tcBorders>
            <w:tcW w:w="76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投标报价合价/元</w:t>
            </w:r>
            <w:r/>
          </w:p>
        </w:tc>
      </w:tr>
      <w:tr>
        <w:trPr>
          <w:trHeight w:val="28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48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第一部分 巡视</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21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日常巡视（标段3）</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1、工作量计算规则：以“月”为单位，费用自行测算， 按报价结合考核结算</w:t>
            </w:r>
            <w:r>
              <w:rPr>
                <w:rFonts w:hint="eastAsia" w:ascii="宋体" w:hAnsi="宋体" w:cs="宋体"/>
                <w:szCs w:val="21"/>
              </w:rPr>
              <w:br/>
              <w:t xml:space="preserve">2、维护内容：专用巡视车辆（含驾驶人员）对区域范围内市政道路及设施进行日常巡视；专职道路管理人员或养护技术人员对道路（含人行道）及附属设施进行巡视</w:t>
            </w:r>
            <w:r>
              <w:rPr>
                <w:rFonts w:hint="eastAsia" w:ascii="宋体" w:hAnsi="宋体" w:cs="宋体"/>
                <w:szCs w:val="21"/>
              </w:rPr>
              <w:br/>
              <w:t xml:space="preserve">3、巡视频率根据招标文件要求，响应发包人考核</w:t>
            </w:r>
            <w:r>
              <w:rPr>
                <w:rFonts w:hint="eastAsia" w:ascii="宋体" w:hAnsi="宋体" w:cs="宋体"/>
                <w:szCs w:val="21"/>
              </w:rPr>
              <w:br/>
              <w:t xml:space="preserve">4、巡视内容：路面外观变化、结构变化、道路维护作业情况及附属设施等状况，路名牌清洁，做相应记录;</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60517.89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48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第二部分 零星维护</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90.69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C20砼基层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2、维护方式：拆除厚度20cm，拆除时不扰动未拆除部分，废料外运弃置；浇筑20cmC20混凝土，养生、清理现场</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217.65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C30砼基层修复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2、维护方式：拆除厚度20cm，拆除时不扰动未拆除部分，废料外运弃置；浇筑20cmC30混凝土，养生、清理现场</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222.22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2、维护方式：拆除厚度15cm，拆除时不扰动未拆除部分，废料外运弃置；摊铺C30干硬性碾压式混凝土，养生、清理现场</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162.86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2、维护方式：拆除厚度15cm，拆除时不扰动未拆除部分，废料外运弃置；摊铺C50干硬性碾压式混凝土，养生、清理现场</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181.95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2、维护方式：车行道中粒式沥青砼修复，增加抗车辙剂，剂量为沥青混合料0.3%（质量比）</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86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1、部位：粘层</w:t>
            </w:r>
            <w:r>
              <w:rPr>
                <w:rFonts w:hint="eastAsia" w:ascii="宋体" w:hAnsi="宋体" w:cs="宋体"/>
                <w:szCs w:val="21"/>
              </w:rPr>
              <w:br/>
              <w:t xml:space="preserve">2、材料品种：乳化沥青</w:t>
            </w:r>
            <w:r>
              <w:rPr>
                <w:rFonts w:hint="eastAsia" w:ascii="宋体" w:hAnsi="宋体" w:cs="宋体"/>
                <w:szCs w:val="21"/>
              </w:rPr>
              <w:br/>
              <w:t xml:space="preserve">3、喷油量：0.8kg/m2</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封层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2、维护方式：拆除原沥青封层，拆除废料拆除弃置；重新铺设封层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124.14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车行道细粒式沥青砼AC-13C修复-厚度调整清单</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90000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车行道沥青玛蹄脂混合料SMA-13修复-厚度调整清单</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16.57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车行道细粒式沥青砼修复增加SBS改性剂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2、维护方式:车行道细粒式沥青砼修复，增加SBS改性剂</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车行道细粒式沥青砼增加抗剥落剂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2、维护方式:车行道细粒式沥青砼修复，增加抗剥落剂，添加量（沥青）0.2%~0.4%(质量比）</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0.41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车行道细粒式沥青砼增加聚酯纤维</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车行道冷补沥青修复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1、工作量计算规则：按体积以“立方米”计</w:t>
            </w:r>
            <w:r>
              <w:rPr>
                <w:rFonts w:hint="eastAsia" w:ascii="宋体" w:hAnsi="宋体" w:cs="宋体"/>
                <w:szCs w:val="21"/>
              </w:rPr>
              <w:br/>
              <w:t xml:space="preserve">2、维护方式:坑洞清理、冷料沥青填筑坑洞、夯实</w:t>
            </w:r>
            <w:r>
              <w:rPr>
                <w:rFonts w:hint="eastAsia" w:ascii="宋体" w:hAnsi="宋体" w:cs="宋体"/>
                <w:szCs w:val="21"/>
              </w:rPr>
              <w:br/>
              <w:t xml:space="preserve">3、面层材质：冷补沥青混合料</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4262.59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2、维护方式:拆除厚度5cm沥青砼，拆除废料外运弃置，拆除时不扰动未拆除部分；重新修复路面，大空隙沥青砼灌注高流动性水泥基浆，压实，清理现场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355.87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车行道彩色陶瓷颗粒防滑路面修复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2、维护方式:路面清扫、刮涂树脂粘结料、撒布陶瓷颗粒、收集多余陶瓷颗粒等 </w:t>
            </w:r>
            <w:r>
              <w:rPr>
                <w:rFonts w:hint="eastAsia" w:ascii="宋体" w:hAnsi="宋体" w:cs="宋体"/>
                <w:szCs w:val="21"/>
              </w:rPr>
              <w:br/>
              <w:t xml:space="preserve">3、面层材质：改性环氧树脂高性能高分子聚合材料5mm</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161.39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2、维护方式:安装边缘钢筋、角隅加固钢筋、钢筋网。</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7603.23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车行道C20快凝混凝土砼坑洞修补</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2、部位：路面坑洞</w:t>
            </w:r>
            <w:r>
              <w:rPr>
                <w:rFonts w:hint="eastAsia" w:ascii="宋体" w:hAnsi="宋体" w:cs="宋体"/>
                <w:szCs w:val="21"/>
              </w:rPr>
              <w:br/>
              <w:t xml:space="preserve">3、修补材料：C20快凝混凝土</w:t>
            </w:r>
            <w:r>
              <w:rPr>
                <w:rFonts w:hint="eastAsia" w:ascii="宋体" w:hAnsi="宋体" w:cs="宋体"/>
                <w:szCs w:val="21"/>
              </w:rPr>
              <w:br/>
              <w:t xml:space="preserve">4、维护方式：凿除、清洗、配料、拌合、浇筑、捣固、养生、清理现场，拆除废料外运弃置</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1834.24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车行道C20碳纤维速凝混凝土坑洞修补</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2、部位：混凝土坑洞</w:t>
            </w:r>
            <w:r>
              <w:rPr>
                <w:rFonts w:hint="eastAsia" w:ascii="宋体" w:hAnsi="宋体" w:cs="宋体"/>
                <w:szCs w:val="21"/>
              </w:rPr>
              <w:br/>
              <w:t xml:space="preserve">3、修补材料：C20碳纤维速凝混凝土</w:t>
            </w:r>
            <w:r>
              <w:rPr>
                <w:rFonts w:hint="eastAsia" w:ascii="宋体" w:hAnsi="宋体" w:cs="宋体"/>
                <w:szCs w:val="21"/>
              </w:rPr>
              <w:br/>
              <w:t xml:space="preserve">4、维护方式：翻挖、切边、整平、铺筑、振实、抹平、养护、切缝、清理现场，拆除废料外运弃置</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1577.39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4.35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23.76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21.84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29.58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11.61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130.63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89.51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112.13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167.17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现状人行道仿石陶瓷透水砖破损，断裂、破旧部位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200.48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人行道路面砖修复-库存料</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砼路面砖、砼透水砖等道板松动，错块，凸出，沉陷部位</w:t>
            </w:r>
            <w:r>
              <w:rPr>
                <w:rFonts w:hint="eastAsia" w:ascii="宋体" w:hAnsi="宋体" w:cs="宋体"/>
                <w:szCs w:val="21"/>
              </w:rPr>
              <w:br/>
              <w:t xml:space="preserve">2、工作内容：拆除原有面砖及粘结层；拆除废料清理并运输弃置；3cm干硬性水泥砂浆重新铺设，使用库存料路面砖铺设，含出库、运输</w:t>
            </w:r>
            <w:r>
              <w:rPr>
                <w:rFonts w:hint="eastAsia" w:ascii="宋体" w:hAnsi="宋体" w:cs="宋体"/>
                <w:szCs w:val="21"/>
              </w:rPr>
              <w:br/>
              <w:t xml:space="preserve">3、材料、材质：库存材料</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2、工作内容：拆除原有 广场砖及清理，整理归集，用于铺设恢复；拆除废料清理并外运弃置；原垫层找平,3cm干硬性水泥砂浆重新铺设 广场砖，使用原广场砖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120.24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2、工作内容：对应清单“人行道广场砖面层修复”，旧料外运弃置；使用新购广场砖</w:t>
            </w:r>
            <w:r>
              <w:rPr>
                <w:rFonts w:hint="eastAsia" w:ascii="宋体" w:hAnsi="宋体" w:cs="宋体"/>
                <w:szCs w:val="21"/>
              </w:rPr>
              <w:br/>
              <w:t xml:space="preserve">3、材料、材质：100*100mm广场砖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199.43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293.7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3、材料、材质：新购4cm金山石石板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1036.7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243.04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62.24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2、工作内容：对应清单“人行道青砖修复”，旧料外运弃置；铺设新购青砖</w:t>
            </w:r>
            <w:r>
              <w:rPr>
                <w:rFonts w:hint="eastAsia" w:ascii="宋体" w:hAnsi="宋体" w:cs="宋体"/>
                <w:szCs w:val="21"/>
              </w:rPr>
              <w:br/>
              <w:t xml:space="preserve">3、材料、材质：4cm厚方形青砖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386.71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人行道青砖侧铺修复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73.01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青砖破损，断裂、破旧部位</w:t>
            </w:r>
            <w:r>
              <w:rPr>
                <w:rFonts w:hint="eastAsia" w:ascii="宋体" w:hAnsi="宋体" w:cs="宋体"/>
                <w:szCs w:val="21"/>
              </w:rPr>
              <w:br/>
              <w:t xml:space="preserve">2、工作内容：对应清单“人行道青砖侧铺修复”，旧料外运弃置；铺设新购青砖</w:t>
            </w:r>
            <w:r>
              <w:rPr>
                <w:rFonts w:hint="eastAsia" w:ascii="宋体" w:hAnsi="宋体" w:cs="宋体"/>
                <w:szCs w:val="21"/>
              </w:rPr>
              <w:br/>
              <w:t xml:space="preserve">3、材料、材质：新购青砖21.5*10.5*4cm</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389.66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2、工作内容：拆除原有植草砖及粘结层，整理归集用于恢复路面；拆除废料清理并运输弃置；原垫层找平,使用原植草砖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48.37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2、工作内容：对应清单“植草砖块料面层修复”，旧料外运弃置；铺设新购植草砖</w:t>
            </w:r>
            <w:r>
              <w:rPr>
                <w:rFonts w:hint="eastAsia" w:ascii="宋体" w:hAnsi="宋体" w:cs="宋体"/>
                <w:szCs w:val="21"/>
              </w:rPr>
              <w:br/>
              <w:t xml:space="preserve">3、材料、材质：新购植草砖80mm厚植草砖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107.79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卵石面层修复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1、部位:卵石园路破损，松动、卵石脱离、破旧等部位</w:t>
            </w:r>
            <w:r>
              <w:rPr>
                <w:rFonts w:hint="eastAsia" w:ascii="宋体" w:hAnsi="宋体" w:cs="宋体"/>
                <w:szCs w:val="21"/>
              </w:rPr>
              <w:br/>
              <w:t xml:space="preserve">2、工作内容：拆除原有卵石及粘结层路面，拆除废料清理并运输弃置；重新铺设卵石园路</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178.93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仿石陶瓷砖防滑处理</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1、部位:仿石陶瓷砖人行道</w:t>
            </w:r>
            <w:r>
              <w:rPr>
                <w:rFonts w:hint="eastAsia" w:ascii="宋体" w:hAnsi="宋体" w:cs="宋体"/>
                <w:szCs w:val="21"/>
              </w:rPr>
              <w:br/>
              <w:t xml:space="preserve">2、工作内容：清理地面，专用药水涂抹，清理表面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花岗岩道板防滑处理</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1、部位:花岗岩道板人行道</w:t>
            </w:r>
            <w:r>
              <w:rPr>
                <w:rFonts w:hint="eastAsia" w:ascii="宋体" w:hAnsi="宋体" w:cs="宋体"/>
                <w:szCs w:val="21"/>
              </w:rPr>
              <w:br/>
              <w:t xml:space="preserve">2、工作内容：火烧处理花岗岩石板面，清理表面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20.18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41.14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59.25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44.24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42.84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36.99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47.81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30.62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40.48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37.51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36.58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78.81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安装石球：新购直径50cm花岗岩石球</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1、工作内容：拆除、移除原损坏石球，旧料外运弃置；安砌花岗岩石球（直径50cm），购置，安砌、固定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537.94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安装石球：新购直径60cm花岗岩石球</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1、工作内容：拆除、移除原损坏石球，旧料外运弃置；安砌花岗岩石球（直径60cm），购置，安砌、固定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941.39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移位石球车挡</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1、工作内容：花岗岩石球车挡，移位，安砌、固定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车阻石</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1、工作内容：购置花岗岩车阻石，φ10cm钢管焊接钢板预埋件安装</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3、材料品种：花岗岩车阻石，D=30cm，高60cm，样式按现场或采购人要求，尺寸不一致，按体积折算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447.5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花岗岩车档修复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1、工作内容：花岗岩车档拆除、安装、扶正、连接固定费用</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U型桩修复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1、工作内容：包括隔离桩扶正固定、除锈、涂漆、贴反光膜等所有费用</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透水混凝土</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1、工作内容：拆除原透水砼，拆除料外运弃置，重新浇筑透水砼</w:t>
            </w:r>
            <w:r>
              <w:rPr>
                <w:rFonts w:hint="eastAsia" w:ascii="宋体" w:hAnsi="宋体" w:cs="宋体"/>
                <w:szCs w:val="21"/>
              </w:rPr>
              <w:br/>
              <w:t xml:space="preserve">2、工作量计算规则：按面积以“平方米”计，厚度不一致折算处理</w:t>
            </w:r>
            <w:r>
              <w:rPr>
                <w:rFonts w:hint="eastAsia" w:ascii="宋体" w:hAnsi="宋体" w:cs="宋体"/>
                <w:szCs w:val="21"/>
              </w:rPr>
              <w:br/>
              <w:t xml:space="preserve">3、材料品种：15cm透水砼基础</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拆除刚性路面路基材料</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1、结构形式:刚性路面路基材料，（钢筋砼或砼）综合考虑</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354.51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拆除半刚性路面路基材料</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1、结构形式:半刚性路面路基材料</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319.09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树池盖板（箅子）</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1、材质、规格：130*130*3cm厚球墨铸铁树池篦子</w:t>
            </w:r>
            <w:r>
              <w:rPr>
                <w:rFonts w:hint="eastAsia" w:ascii="宋体" w:hAnsi="宋体" w:cs="宋体"/>
                <w:szCs w:val="21"/>
              </w:rPr>
              <w:br/>
              <w:t xml:space="preserve">2、工作内容：拆除、弃置元树池篦子，更换新树池篦子</w:t>
            </w:r>
            <w:r>
              <w:rPr>
                <w:rFonts w:hint="eastAsia" w:ascii="宋体" w:hAnsi="宋体" w:cs="宋体"/>
                <w:szCs w:val="21"/>
              </w:rPr>
              <w:br/>
              <w:t xml:space="preserve">3、工作量计算规则：按套计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874.15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检查井升降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1、材料品种：砖砌检查井，雨水污水综合考虑，防沉降井盖座850*190（高度190mm)，详见设计，D400级，雨水井盖、污水井盖文字、图案按设计要求</w:t>
            </w:r>
            <w:r>
              <w:rPr>
                <w:rFonts w:hint="eastAsia" w:ascii="宋体" w:hAnsi="宋体" w:cs="宋体"/>
                <w:szCs w:val="21"/>
              </w:rPr>
              <w:br/>
              <w:t xml:space="preserve">2、工作内容：拆除旧窨井、雨水井框盖及升砌砖墙、抹内墙、消除废料,含运弃；安放井框盖，井盖座为更换新防沉降井盖座</w:t>
            </w:r>
            <w:r>
              <w:rPr>
                <w:rFonts w:hint="eastAsia" w:ascii="宋体" w:hAnsi="宋体" w:cs="宋体"/>
                <w:szCs w:val="21"/>
              </w:rPr>
              <w:br/>
              <w:t xml:space="preserve">3、平均升（降）高度：投标人自行考虑</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1723.79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人工挖土（含外运）</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2、工作内容：人工挖土、抛土、修正底边、边坡</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163.96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机械挖土（含外运）</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2、工作内容：挖掘机挖土、装车、清理余土、人工配合修整路槽，清理等，含土方运输弃置</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135.33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1、结构形式:内弯型墨绿色镀锌管烤漆镀锌管，表面烤漆绿化围栏，高1.0米，尺寸不一致按此折算处理</w:t>
            </w:r>
            <w:r>
              <w:rPr>
                <w:rFonts w:hint="eastAsia" w:ascii="宋体" w:hAnsi="宋体" w:cs="宋体"/>
                <w:szCs w:val="21"/>
              </w:rPr>
              <w:br/>
              <w:t xml:space="preserve">2、工作内容：包括基础、围栏安装等所有费用，挖土费不单独计</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280.51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1、结构形式:现场围挡</w:t>
            </w:r>
            <w:r>
              <w:rPr>
                <w:rFonts w:hint="eastAsia" w:ascii="宋体" w:hAnsi="宋体" w:cs="宋体"/>
                <w:szCs w:val="21"/>
              </w:rPr>
              <w:br/>
              <w:t xml:space="preserve">2、工作内容：2.5米以下，现场绿化围栏固定、连接、扶正等</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2、工作内容：开挖基坑，埋置隔离桩，基础固定</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95.46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2、工作内容：隔离桩扶正固定、除锈、涂漆、贴反光膜等所有费用</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回填方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1、结构形式:回填土方</w:t>
            </w:r>
            <w:r>
              <w:rPr>
                <w:rFonts w:hint="eastAsia" w:ascii="宋体" w:hAnsi="宋体" w:cs="宋体"/>
                <w:szCs w:val="21"/>
              </w:rPr>
              <w:br/>
              <w:t xml:space="preserve">2、工作内容：坑槽回填，回填采用素土回填，包括土源</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49.29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45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路名牌新建或整体更换</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1、结构形式:立杆式双面路名牌，含表面贴膜，立杆安装等全套路名牌</w:t>
            </w:r>
            <w:r>
              <w:rPr>
                <w:rFonts w:hint="eastAsia" w:ascii="宋体" w:hAnsi="宋体" w:cs="宋体"/>
                <w:szCs w:val="21"/>
              </w:rPr>
              <w:br/>
              <w:t xml:space="preserve">2、规格、尺寸：126cm*36cm铝板（1.5mm厚），整套路牌喷塑、装配零部件，铝制特型材7cm*3cm,壁厚1.2mm，ABS塑料链接弯头，定做塑料件，70*50*3mm方钢管，除锈镀锌处理、厚8mm底板，配套底座等整套路名牌</w:t>
            </w:r>
            <w:r>
              <w:rPr>
                <w:rFonts w:hint="eastAsia" w:ascii="宋体" w:hAnsi="宋体" w:cs="宋体"/>
                <w:szCs w:val="21"/>
              </w:rPr>
              <w:br/>
              <w:t xml:space="preserve">3、工作内容：含挖土坑，立杆基础、安装路名牌、清理现场等</w:t>
            </w:r>
            <w:r>
              <w:rPr>
                <w:rFonts w:hint="eastAsia" w:ascii="宋体" w:hAnsi="宋体" w:cs="宋体"/>
                <w:szCs w:val="21"/>
              </w:rPr>
              <w:br/>
              <w:t xml:space="preserve">4、工作量计量规则：按套”计算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1770.61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路名牌更换(更换牌板）</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1、结构形式:双面路名牌，单面厚度2mm、1250*350 mm</w:t>
            </w:r>
            <w:r>
              <w:rPr>
                <w:rFonts w:hint="eastAsia" w:ascii="宋体" w:hAnsi="宋体" w:cs="宋体"/>
                <w:szCs w:val="21"/>
              </w:rPr>
              <w:br/>
              <w:t xml:space="preserve">2、规格、尺寸：126cm*36cm铝板（1.5mm厚），整套路牌喷塑、装配零部件，铝制特型材7cm*3cm,壁厚1.2mm，ABS塑料链接弯头，定做塑料件等</w:t>
            </w:r>
            <w:r>
              <w:rPr>
                <w:rFonts w:hint="eastAsia" w:ascii="宋体" w:hAnsi="宋体" w:cs="宋体"/>
                <w:szCs w:val="21"/>
              </w:rPr>
              <w:br/>
              <w:t xml:space="preserve">3、工作内容：拆除原损坏路名牌，更换新路名牌</w:t>
            </w:r>
            <w:r>
              <w:rPr>
                <w:rFonts w:hint="eastAsia" w:ascii="宋体" w:hAnsi="宋体" w:cs="宋体"/>
                <w:szCs w:val="21"/>
              </w:rPr>
              <w:br/>
              <w:t xml:space="preserve">4、工作量计量规则：按个数以“块”计算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1546.86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路名牌贴膜</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1、结构形式:双面路名牌，更新表面膜，底膜采用反光膜（超强级）、字膜采用方光膜（超强级）</w:t>
            </w:r>
            <w:r>
              <w:rPr>
                <w:rFonts w:hint="eastAsia" w:ascii="宋体" w:hAnsi="宋体" w:cs="宋体"/>
                <w:szCs w:val="21"/>
              </w:rPr>
              <w:br/>
              <w:t xml:space="preserve">2、工作内容：清除路名牌表面旧贴膜，重新贴面</w:t>
            </w:r>
            <w:r>
              <w:rPr>
                <w:rFonts w:hint="eastAsia" w:ascii="宋体" w:hAnsi="宋体" w:cs="宋体"/>
                <w:szCs w:val="21"/>
              </w:rPr>
              <w:br/>
              <w:t xml:space="preserve">3、工作量计量规则：按个数以“块”计算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174.83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路名牌除锈、油漆、加固</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2、工作内容：路名牌除锈，油漆、加固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94.44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路名牌除锈、加固</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78.75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路名牌更换立杆</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1、结构形式:现状路名牌，单根70*50*3mm方钢管立杆，表面防锈烤漆，立柱高2米</w:t>
            </w:r>
            <w:r>
              <w:rPr>
                <w:rFonts w:hint="eastAsia" w:ascii="宋体" w:hAnsi="宋体" w:cs="宋体"/>
                <w:szCs w:val="21"/>
              </w:rPr>
              <w:br/>
              <w:t xml:space="preserve">2、工作内容：更换路名牌立杆</w:t>
            </w:r>
            <w:r>
              <w:rPr>
                <w:rFonts w:hint="eastAsia" w:ascii="宋体" w:hAnsi="宋体" w:cs="宋体"/>
                <w:szCs w:val="21"/>
              </w:rPr>
              <w:br/>
              <w:t xml:space="preserve">3、工作量计量规则：按个以“根”计算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266.57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57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热熔标线</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1、材料品种：热熔标线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57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常温标线</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1、材料品种：常温标线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24.21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清除标线</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1、清除方法：综合考虑</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80.69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防滑条</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1、规格、材质：防滑铜条 3×40×1mm</w:t>
            </w:r>
            <w:r>
              <w:rPr>
                <w:rFonts w:hint="eastAsia" w:ascii="宋体" w:hAnsi="宋体" w:cs="宋体"/>
                <w:szCs w:val="21"/>
              </w:rPr>
              <w:br/>
              <w:t xml:space="preserve">2、工作内容：拆除原台阶金属防滑条，更换新防滑条</w:t>
            </w:r>
            <w:r>
              <w:rPr>
                <w:rFonts w:hint="eastAsia" w:ascii="宋体" w:hAnsi="宋体" w:cs="宋体"/>
                <w:szCs w:val="21"/>
              </w:rPr>
              <w:br/>
              <w:t xml:space="preserve">3、工作量计算规则：按米计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479.34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附着式标志牌</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2、材质、规格尺寸：圆形、三角形、矩形标志牌等，报价包括使用、维护、损耗等费用，材料残值归服务人。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389.77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支架式标志牌</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2、材质、规格尺寸：160*140cm标志牌，报价包括使用、维护、损耗等费用，材料残值归服务人。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4、工作量计算规则：按“块”计，尺寸不一按面积折算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57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计日工</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按工日计，每个工日8个小时，不足8个小时折算工日</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工日</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172.14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栏杆（更新）</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3、工作内容：拆除原破损栏凳，清理现场，废料弃置，材料残值归服务人</w:t>
            </w:r>
            <w:r>
              <w:rPr>
                <w:rFonts w:hint="eastAsia" w:ascii="宋体" w:hAnsi="宋体" w:cs="宋体"/>
                <w:szCs w:val="21"/>
              </w:rPr>
              <w:br/>
              <w:t xml:space="preserve">4、工作量计算规则：按花岗岩体积以“立方米”计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6495.92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栏杆（维修）</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3、工作内容：破损栏凳维修，松动脱落部位粘结加固</w:t>
            </w:r>
            <w:r>
              <w:rPr>
                <w:rFonts w:hint="eastAsia" w:ascii="宋体" w:hAnsi="宋体" w:cs="宋体"/>
                <w:szCs w:val="21"/>
              </w:rPr>
              <w:br/>
              <w:t xml:space="preserve">4、工作量计算规则：按栏凳长度以“米”计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256.66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104</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设施维护手续办理费用</w:t>
            </w:r>
            <w:r/>
          </w:p>
        </w:tc>
        <w:tc>
          <w:tcPr>
            <w:tcBorders>
              <w:top w:val="none" w:color="000000" w:sz="4" w:space="0"/>
              <w:left w:val="none" w:color="000000" w:sz="4" w:space="0"/>
              <w:bottom w:val="single" w:color="auto" w:sz="4" w:space="0"/>
              <w:right w:val="single" w:color="auto"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1、用于因设施维护并按采购人要求进行绿化迁移、管线迁移等产生的费用</w:t>
            </w:r>
            <w:r>
              <w:rPr>
                <w:rFonts w:hint="eastAsia" w:ascii="宋体" w:hAnsi="宋体" w:cs="宋体"/>
                <w:szCs w:val="21"/>
              </w:rPr>
              <w:br/>
              <w:t xml:space="preserve">2、</w:t>
            </w:r>
            <w:r>
              <w:rPr>
                <w:rFonts w:hint="eastAsia" w:ascii="宋体" w:hAnsi="宋体" w:cs="宋体"/>
                <w:b/>
                <w:bCs/>
                <w:szCs w:val="21"/>
              </w:rPr>
              <w:t xml:space="preserve">不可竞争</w:t>
            </w:r>
            <w:r>
              <w:rPr>
                <w:rFonts w:hint="eastAsia" w:ascii="宋体" w:hAnsi="宋体" w:cs="宋体"/>
                <w:szCs w:val="21"/>
              </w:rPr>
              <w:t xml:space="preserve">，按实结算</w:t>
            </w:r>
            <w:r/>
          </w:p>
        </w:tc>
        <w:tc>
          <w:tcPr>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none" w:color="000000" w:sz="4" w:space="0"/>
              <w:right w:val="non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rPr>
                <w:rFonts w:hint="eastAsia" w:ascii="宋体" w:hAnsi="宋体" w:cs="宋体"/>
                <w:szCs w:val="21"/>
              </w:rPr>
              <w:t xml:space="preserve">　</w:t>
            </w:r>
            <w:r/>
          </w:p>
        </w:tc>
      </w:tr>
      <w:tr>
        <w:trPr>
          <w:trHeight w:val="28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48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第三部分 专项维护</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车行道水泥稳定碎石摊铺</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2、水泥稳定碎石厚：20cm水泥稳定碎石</w:t>
            </w:r>
            <w:r>
              <w:rPr>
                <w:rFonts w:hint="eastAsia" w:ascii="宋体" w:hAnsi="宋体" w:cs="宋体"/>
                <w:szCs w:val="21"/>
              </w:rPr>
              <w:br/>
              <w:t xml:space="preserve">2、维护内容：拆除20cm原水泥稳定碎石基层，废料外运弃置；拆除时不扰动未拆除部分；摊铺水泥稳定碎石，水泥剂量4%，覆盖养生</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134.3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C20混凝土基层修复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2、厚度：20cmC20砼基层</w:t>
            </w:r>
            <w:r>
              <w:rPr>
                <w:rFonts w:hint="eastAsia" w:ascii="宋体" w:hAnsi="宋体" w:cs="宋体"/>
                <w:szCs w:val="21"/>
              </w:rPr>
              <w:br/>
              <w:t xml:space="preserve">3、维护内容：拆除20cm原混凝土面层，废料外运弃置；拆除时不扰动未拆除部分；浇筑C20水泥混凝土，覆盖养生</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163.14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C30混凝土基层修复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2、厚度：20cmC30砼基层</w:t>
            </w:r>
            <w:r>
              <w:rPr>
                <w:rFonts w:hint="eastAsia" w:ascii="宋体" w:hAnsi="宋体" w:cs="宋体"/>
                <w:szCs w:val="21"/>
              </w:rPr>
              <w:br/>
              <w:t xml:space="preserve">3、维护内容：拆除20cm原混凝土面层，废料外运弃置；拆除时不扰动未拆除部分；浇筑C30水泥混凝土，覆盖养生</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166.94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2、厚度：15cm干硬性碾压式C30砼</w:t>
            </w:r>
            <w:r>
              <w:rPr>
                <w:rFonts w:hint="eastAsia" w:ascii="宋体" w:hAnsi="宋体" w:cs="宋体"/>
                <w:szCs w:val="21"/>
              </w:rPr>
              <w:br/>
              <w:t xml:space="preserve">3、维护内容：拆除厚度15cm，废料外运弃置；拆除时不扰动未拆除部分；摊铺C30干硬性碾压式混凝土，养生、清理现场</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117.91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2、厚度：15cm干硬性碾压式C50砼</w:t>
            </w:r>
            <w:r>
              <w:rPr>
                <w:rFonts w:hint="eastAsia" w:ascii="宋体" w:hAnsi="宋体" w:cs="宋体"/>
                <w:szCs w:val="21"/>
              </w:rPr>
              <w:br/>
              <w:t xml:space="preserve">3、维护内容：拆除厚度15cm，废料外运弃置；拆除时不扰动未拆除部分；摊铺C50干硬性碾压式混凝土，养生、清理现场</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133.92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2、维护方式：铣刨厚度6cm沥青砼，拆除时不扰动未拆除部分；重新修复沥青砼路面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84.56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2、维护方式：车行道中粒式沥青砼修复，增加抗车辙剂，添加量0.2~0.4%（质量比）</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6.51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77.18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沥青砼AC-13C修复-厚度调整清单</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9.91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沥青玛蹄脂碎石SMA-13修复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88.69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沥青玛蹄脂混合料SMA-13修复-厚度调整清单</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11.35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沥青砼修复-增加SBS改性剂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2、维护方式：对应清单“车行道细粒式沥青砼AC-13C修复”或“沥青玛蹄脂碎石SMA-13修复”，细粒式沥青砼AC-13C修复，增加SBS改性剂</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沥青砼修复-增加抗剥落剂</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2、维护方式：对应清单“车行道细粒式沥青砼AC-13C修复”或“沥青玛蹄脂碎石SMA-13修复”，增加抗剥落剂，添加量（沥青）0.2%~0.4%(质量比）</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0.33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沥青砼修复-增加聚酯纤维</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车行道封层修复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16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2、维护方式:拆除厚度5cm沥青砼，拆除时不扰动未拆除部分,拆除废料外运弃置；重新修复路面，大空隙沥青砼关注高流动性水泥基浆，压实，清理现场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21.39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2、维护内容：清扫路基，运油、加热、洒布机（人工手泵）喷油、移动挡板（或遮盖物）保护侧缘石</w:t>
            </w:r>
            <w:r>
              <w:rPr>
                <w:rFonts w:hint="eastAsia" w:ascii="宋体" w:hAnsi="宋体" w:cs="宋体"/>
                <w:szCs w:val="21"/>
              </w:rPr>
              <w:br/>
              <w:t xml:space="preserve">3、面层材质：0.8kg/m2乳化沥青</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1E+05</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25.57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15.56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8.12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2、维护内容：钢筋除锈， 安装角隅加固钢筋、钢筋网</w:t>
            </w:r>
            <w:r>
              <w:rPr>
                <w:rFonts w:hint="eastAsia" w:ascii="宋体" w:hAnsi="宋体" w:cs="宋体"/>
                <w:szCs w:val="21"/>
              </w:rPr>
              <w:br/>
              <w:t xml:space="preserve">3、面层材质：HRB400钢筋</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6446.74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135.03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101.54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40.95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71.57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129.73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160.12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72.66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150.7</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230.78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190.66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34.62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62.16</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38.82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21.52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52.11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32.23</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59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40.81</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135.84</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3、材料、材质：新购30*12.5*100cm花岗岩侧石(圆弧形）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138.2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22.9</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66.25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0"/>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304"/>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雨水口新砌</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1、雨水箅子及圈口材质、型号、规格：350*550球墨铸铁雨水井蓖座</w:t>
            </w:r>
            <w:r>
              <w:rPr>
                <w:rFonts w:hint="eastAsia" w:ascii="宋体" w:hAnsi="宋体" w:cs="宋体"/>
                <w:szCs w:val="21"/>
              </w:rPr>
              <w:br/>
              <w:t xml:space="preserve">2、垫层、基础材质及厚度：碎石垫层，C25混凝土基础</w:t>
            </w:r>
            <w:r>
              <w:rPr>
                <w:rFonts w:hint="eastAsia" w:ascii="宋体" w:hAnsi="宋体" w:cs="宋体"/>
                <w:szCs w:val="21"/>
              </w:rPr>
              <w:br/>
              <w:t xml:space="preserve">3、砌筑材料品种、规格：MU10水泥砂浆砖砌MU10砖</w:t>
            </w:r>
            <w:r>
              <w:rPr>
                <w:rFonts w:hint="eastAsia" w:ascii="宋体" w:hAnsi="宋体" w:cs="宋体"/>
                <w:szCs w:val="21"/>
              </w:rPr>
              <w:br/>
              <w:t xml:space="preserve">4、砂浆强度等级及配合比：1：2水泥砂浆抹面</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1398.5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执勤费</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1、工作量计算规则：以“人*月”为单位，费用自行测算， 按实际数量结算</w:t>
            </w:r>
            <w:r>
              <w:rPr>
                <w:rFonts w:hint="eastAsia" w:ascii="宋体" w:hAnsi="宋体" w:cs="宋体"/>
                <w:szCs w:val="21"/>
              </w:rPr>
              <w:br/>
              <w:t xml:space="preserve">2、维护内容：交通执勤</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人*月</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4500</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016"/>
        </w:trPr>
        <w:tc>
          <w:tcPr>
            <w:tcBorders>
              <w:top w:val="non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固定围挡</w:t>
            </w:r>
            <w:r/>
          </w:p>
        </w:tc>
        <w:tc>
          <w:tcPr>
            <w:tcBorders>
              <w:top w:val="none" w:color="000000" w:sz="4" w:space="0"/>
              <w:left w:val="none" w:color="000000" w:sz="4" w:space="0"/>
              <w:bottom w:val="single" w:color="000000" w:sz="4" w:space="0"/>
              <w:right w:val="single" w:color="000000"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1、工作量计算规则：按长以“米”计</w:t>
            </w:r>
            <w:r>
              <w:rPr>
                <w:rFonts w:hint="eastAsia" w:ascii="宋体" w:hAnsi="宋体" w:cs="宋体"/>
                <w:szCs w:val="21"/>
              </w:rPr>
              <w:br/>
              <w:t xml:space="preserve">2、维护内容：安装高标准围挡、维护、维修围挡、拆除围挡，含喷淋、公益广告、宣传布告、绿挂等</w:t>
            </w:r>
            <w:r>
              <w:rPr>
                <w:rFonts w:hint="eastAsia" w:ascii="宋体" w:hAnsi="宋体" w:cs="宋体"/>
                <w:szCs w:val="21"/>
              </w:rPr>
              <w:br/>
              <w:t xml:space="preserve">3、材质：围挡规格满足苏州市区相关规定及采购人要求</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325.38</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auto" w:sz="4" w:space="0"/>
              <w:left w:val="none" w:color="000000" w:sz="4" w:space="0"/>
              <w:bottom w:val="single" w:color="auto" w:sz="4" w:space="0"/>
              <w:right w:val="single" w:color="auto" w:sz="4" w:space="0"/>
            </w:tcBorders>
            <w:tcW w:w="48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第四部分 应急管理费</w:t>
            </w:r>
            <w:r/>
          </w:p>
        </w:tc>
        <w:tc>
          <w:tcPr>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none" w:color="000000" w:sz="4" w:space="0"/>
              <w:right w:val="non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440"/>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rPr>
                <w:rFonts w:hint="eastAsia" w:ascii="宋体" w:hAnsi="宋体" w:cs="宋体"/>
                <w:szCs w:val="21"/>
              </w:rPr>
            </w:pPr>
            <w:r>
              <w:rPr>
                <w:rFonts w:hint="eastAsia" w:ascii="宋体" w:hAnsi="宋体" w:cs="宋体"/>
                <w:szCs w:val="21"/>
              </w:rPr>
              <w:t xml:space="preserve">应急管理费</w:t>
            </w:r>
            <w:r/>
          </w:p>
        </w:tc>
        <w:tc>
          <w:tcPr>
            <w:tcBorders>
              <w:top w:val="none" w:color="000000" w:sz="4" w:space="0"/>
              <w:left w:val="none" w:color="000000" w:sz="4" w:space="0"/>
              <w:bottom w:val="single" w:color="auto" w:sz="4" w:space="0"/>
              <w:right w:val="single" w:color="auto" w:sz="4" w:space="0"/>
            </w:tcBorders>
            <w:tcW w:w="3600" w:type="dxa"/>
            <w:vAlign w:val="center"/>
            <w:textDirection w:val="lrTb"/>
            <w:noWrap w:val="false"/>
          </w:tcPr>
          <w:p>
            <w:pPr>
              <w:rPr>
                <w:rFonts w:hint="eastAsia" w:ascii="宋体" w:hAnsi="宋体" w:cs="宋体"/>
                <w:szCs w:val="21"/>
              </w:rPr>
            </w:pPr>
            <w:r>
              <w:rPr>
                <w:rFonts w:hint="eastAsia" w:ascii="宋体" w:hAnsi="宋体" w:cs="宋体"/>
                <w:szCs w:val="21"/>
              </w:rPr>
              <w:t xml:space="preserve">雨季、冰冻季和台风暴雨等灾害性天气气候的养护值班及应急处理；紧急、特殊情况的应急处理，应急演练、临时安排等（以招标文件及采购人要求为准）</w:t>
            </w:r>
            <w:r/>
          </w:p>
        </w:tc>
        <w:tc>
          <w:tcPr>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none" w:color="000000" w:sz="4" w:space="0"/>
              <w:right w:val="none" w:color="000000" w:sz="4" w:space="0"/>
            </w:tcBorders>
            <w:tcW w:w="920" w:type="dxa"/>
            <w:vAlign w:val="center"/>
            <w:textDirection w:val="lrTb"/>
            <w:noWrap w:val="false"/>
          </w:tcPr>
          <w:p>
            <w:pPr>
              <w:jc w:val="righ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00"/>
        </w:trPr>
        <w:tc>
          <w:tcPr>
            <w:gridSpan w:val="6"/>
            <w:tcBorders>
              <w:top w:val="single" w:color="000000" w:sz="4" w:space="0"/>
              <w:left w:val="single" w:color="000000" w:sz="8" w:space="0"/>
              <w:bottom w:val="single" w:color="000000" w:sz="8" w:space="0"/>
              <w:right w:val="single" w:color="000000" w:sz="4" w:space="0"/>
            </w:tcBorders>
            <w:tcW w:w="78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Borders>
              <w:top w:val="single" w:color="000000" w:sz="4" w:space="0"/>
              <w:left w:val="none" w:color="000000" w:sz="4" w:space="0"/>
              <w:bottom w:val="single" w:color="000000" w:sz="8" w:space="0"/>
              <w:right w:val="single" w:color="000000" w:sz="4" w:space="0"/>
            </w:tcBorders>
            <w:tcW w:w="9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4" w:space="0"/>
            </w:tcBorders>
            <w:tcW w:w="760"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bl>
    <w:p>
      <w:pPr>
        <w:ind w:firstLine="210"/>
        <w:spacing w:line="360" w:lineRule="auto"/>
        <w:rPr>
          <w:rFonts w:hint="eastAsia" w:ascii="宋体" w:hAnsi="宋体"/>
          <w:szCs w:val="21"/>
        </w:rPr>
      </w:pPr>
      <w:r>
        <w:rPr>
          <w:rFonts w:ascii="宋体" w:hAnsi="宋体"/>
          <w:szCs w:val="21"/>
          <w:lang w:val="zh-CN"/>
        </w:rPr>
        <w:t xml:space="preserve">投标人（公章）：</w:t>
      </w:r>
      <w:r/>
    </w:p>
    <w:p>
      <w:pPr>
        <w:ind w:firstLine="210"/>
        <w:spacing w:line="360" w:lineRule="auto"/>
        <w:rPr>
          <w:rFonts w:hint="eastAsia" w:ascii="宋体" w:hAnsi="宋体"/>
          <w:szCs w:val="21"/>
        </w:rPr>
      </w:pPr>
      <w:r>
        <w:rPr>
          <w:rFonts w:ascii="宋体" w:hAnsi="宋体"/>
          <w:szCs w:val="21"/>
          <w:lang w:val="zh-CN"/>
        </w:rPr>
        <w:t xml:space="preserve">法定代表人或代理人：（签字或盖章）</w:t>
      </w:r>
      <w:r/>
    </w:p>
    <w:p>
      <w:pPr>
        <w:ind w:firstLine="210"/>
        <w:spacing w:line="360" w:lineRule="auto"/>
        <w:rPr>
          <w:rFonts w:hint="eastAsia" w:ascii="宋体" w:hAnsi="宋体"/>
          <w:szCs w:val="21"/>
        </w:rPr>
      </w:pPr>
      <w:r>
        <w:rPr>
          <w:rFonts w:ascii="宋体" w:hAnsi="宋体"/>
          <w:szCs w:val="21"/>
          <w:lang w:val="zh-CN"/>
        </w:rPr>
        <w:t xml:space="preserve">日期：</w:t>
      </w:r>
      <w:r>
        <w:rPr>
          <w:rFonts w:ascii="宋体" w:hAnsi="宋体"/>
          <w:szCs w:val="21"/>
        </w:rPr>
        <w:t xml:space="preserve">      </w:t>
      </w:r>
      <w:r>
        <w:rPr>
          <w:rFonts w:ascii="宋体" w:hAnsi="宋体"/>
          <w:szCs w:val="21"/>
          <w:lang w:val="zh-CN"/>
        </w:rPr>
        <w:t xml:space="preserve">年</w:t>
      </w:r>
      <w:r>
        <w:rPr>
          <w:rFonts w:ascii="宋体" w:hAnsi="宋体"/>
          <w:szCs w:val="21"/>
        </w:rPr>
        <w:t xml:space="preserve">     </w:t>
      </w:r>
      <w:r>
        <w:rPr>
          <w:rFonts w:ascii="宋体" w:hAnsi="宋体"/>
          <w:szCs w:val="21"/>
          <w:lang w:val="zh-CN"/>
        </w:rPr>
        <w:t xml:space="preserve">月</w:t>
      </w:r>
      <w:r>
        <w:rPr>
          <w:rFonts w:ascii="宋体" w:hAnsi="宋体"/>
          <w:szCs w:val="21"/>
        </w:rPr>
        <w:t xml:space="preserve">     </w:t>
      </w:r>
      <w:r>
        <w:rPr>
          <w:rFonts w:ascii="宋体" w:hAnsi="宋体"/>
          <w:szCs w:val="21"/>
          <w:lang w:val="zh-CN"/>
        </w:rPr>
        <w:t xml:space="preserve">日</w:t>
      </w:r>
      <w:r/>
    </w:p>
    <w:p>
      <w:pPr>
        <w:rPr>
          <w:rFonts w:hint="eastAsia" w:ascii="宋体" w:hAnsi="宋体" w:cs="宋体"/>
          <w:b/>
          <w:bCs/>
          <w:szCs w:val="21"/>
        </w:rPr>
      </w:pPr>
      <w:r>
        <w:rPr>
          <w:rFonts w:hint="eastAsia" w:ascii="宋体" w:hAnsi="宋体" w:cs="宋体"/>
          <w:b/>
          <w:bCs/>
          <w:szCs w:val="21"/>
        </w:rPr>
        <w:t xml:space="preserve">注：</w:t>
      </w:r>
      <w:r/>
    </w:p>
    <w:p>
      <w:pPr>
        <w:ind w:firstLine="422"/>
        <w:rPr>
          <w:rFonts w:hint="eastAsia" w:ascii="宋体" w:hAnsi="宋体" w:cs="宋体"/>
          <w:b/>
          <w:bCs/>
          <w:szCs w:val="21"/>
        </w:rPr>
      </w:pPr>
      <w:r>
        <w:rPr>
          <w:rFonts w:hint="eastAsia" w:ascii="宋体" w:hAnsi="宋体" w:cs="宋体"/>
          <w:b/>
          <w:bCs/>
          <w:szCs w:val="21"/>
        </w:rPr>
        <w:t xml:space="preserve">1、投标人的各项单价报价不得超过对应项的最高单价限价，若有一项超过的则视为</w:t>
      </w:r>
      <w:r>
        <w:rPr>
          <w:rFonts w:hint="eastAsia" w:ascii="宋体" w:hAnsi="宋体" w:cs="宋体"/>
          <w:b/>
          <w:bCs/>
          <w:sz w:val="24"/>
          <w:u w:val="single"/>
        </w:rPr>
        <w:t xml:space="preserve">无效投标</w:t>
      </w:r>
      <w:r>
        <w:rPr>
          <w:rFonts w:hint="eastAsia" w:ascii="宋体" w:hAnsi="宋体" w:cs="宋体"/>
          <w:b/>
          <w:bCs/>
          <w:szCs w:val="21"/>
        </w:rPr>
        <w:t xml:space="preserve">。</w:t>
      </w:r>
      <w:r/>
    </w:p>
    <w:p>
      <w:pPr>
        <w:ind w:firstLine="422"/>
        <w:rPr>
          <w:b/>
          <w:bCs/>
        </w:rPr>
      </w:pPr>
      <w:r>
        <w:rPr>
          <w:rFonts w:hint="eastAsia" w:ascii="宋体" w:hAnsi="宋体" w:cs="宋体"/>
          <w:b/>
          <w:bCs/>
          <w:szCs w:val="21"/>
        </w:rPr>
        <w:t xml:space="preserve">2、零星维护和大面积维修的单价界定：如单次维护总面积（或总长度）大于等于200平方米（米），则此次维护的所有工作内容均按大面积清单中的单价进行计算（如大面积清单中没有的项目按零星维护单价进行计算）。</w:t>
      </w:r>
      <w:r/>
    </w:p>
    <w:p>
      <w:pPr>
        <w:ind w:firstLine="422"/>
        <w:rPr>
          <w:rFonts w:hint="eastAsia" w:ascii="宋体" w:hAnsi="宋体" w:cs="宋体"/>
          <w:b/>
          <w:bCs/>
          <w:szCs w:val="21"/>
        </w:rPr>
      </w:pPr>
      <w:r>
        <w:rPr>
          <w:rFonts w:ascii="宋体" w:hAnsi="宋体" w:cs="宋体"/>
          <w:b/>
          <w:bCs/>
          <w:szCs w:val="21"/>
        </w:rPr>
        <w:t xml:space="preserve">3</w:t>
      </w:r>
      <w:r>
        <w:rPr>
          <w:rFonts w:hint="eastAsia" w:ascii="宋体" w:hAnsi="宋体" w:cs="宋体"/>
          <w:b/>
          <w:bCs/>
          <w:szCs w:val="21"/>
        </w:rPr>
        <w:t xml:space="preserve">、除非合同中另有规定，投标人对《开标一览表》中的报价包含但不限于包括完成该项工作（含巡视、维护、应急抢险等）所列的服务管理内容及技术措施费、安全文明措施费、风险费、材料、机械设备、安装、</w:t>
      </w:r>
      <w:r>
        <w:rPr>
          <w:rFonts w:hint="eastAsia" w:ascii="宋体" w:hAnsi="宋体" w:cs="宋体"/>
          <w:b/>
          <w:bCs/>
          <w:szCs w:val="21"/>
        </w:rPr>
        <w:t xml:space="preserve">维护</w:t>
      </w:r>
      <w:r>
        <w:rPr>
          <w:rFonts w:hint="eastAsia" w:ascii="宋体" w:hAnsi="宋体" w:cs="宋体"/>
          <w:b/>
          <w:bCs/>
          <w:szCs w:val="21"/>
        </w:rPr>
        <w:t xml:space="preserve">作业范围内的建筑垃圾等杂物的清运费、人工（包括人员劳务费、加班费、福利费、养老保险、社保等）、作业人员人身意外保险以及在从事该劳动过程中发生的其它费用（含法律法规应缴的费用）、公众责任保险、劳保、维护、代理费、利润、税金、政策性文件规定及合同包含的所有风险、责任等各项所有费用，且不受政策因素影响。</w:t>
      </w:r>
      <w:r/>
    </w:p>
    <w:p>
      <w:pPr>
        <w:ind w:firstLine="422"/>
        <w:rPr>
          <w:rFonts w:hint="eastAsia" w:ascii="宋体" w:hAnsi="宋体" w:cs="宋体"/>
          <w:b/>
          <w:bCs/>
          <w:szCs w:val="21"/>
        </w:rPr>
      </w:pPr>
      <w:r>
        <w:rPr>
          <w:rFonts w:hint="eastAsia" w:ascii="宋体" w:hAnsi="宋体" w:cs="宋体"/>
          <w:b/>
          <w:bCs/>
          <w:szCs w:val="21"/>
        </w:rPr>
        <w:t xml:space="preserve">4、单价、合价均须以人民币元表示，各金额均须用小写填写，并精确到小数点后2位，第3位四舍五入。</w:t>
      </w:r>
      <w:r/>
    </w:p>
    <w:p>
      <w:pPr>
        <w:ind w:firstLine="422"/>
        <w:rPr>
          <w:rFonts w:hint="eastAsia" w:ascii="宋体" w:hAnsi="宋体" w:cs="宋体"/>
          <w:b/>
          <w:bCs/>
          <w:szCs w:val="21"/>
        </w:rPr>
      </w:pPr>
      <w:r>
        <w:rPr>
          <w:rFonts w:hint="eastAsia" w:ascii="宋体" w:hAnsi="宋体" w:cs="宋体"/>
          <w:b/>
          <w:bCs/>
          <w:szCs w:val="21"/>
        </w:rPr>
        <w:t xml:space="preserve">5、投标人对表中各项均需填写，投标人未填写单价或合价的项目，视作该</w:t>
      </w:r>
      <w:r>
        <w:rPr>
          <w:rFonts w:hint="eastAsia" w:ascii="宋体" w:hAnsi="宋体" w:cs="宋体"/>
          <w:b/>
          <w:bCs/>
          <w:szCs w:val="21"/>
        </w:rPr>
        <w:t xml:space="preserve">项费用已包含在其他有价款的费用中或投标合价内将不予另行支付</w:t>
      </w:r>
      <w:r>
        <w:rPr>
          <w:rFonts w:hint="eastAsia" w:ascii="宋体" w:hAnsi="宋体" w:cs="宋体"/>
          <w:b/>
          <w:bCs/>
          <w:szCs w:val="21"/>
        </w:rPr>
        <w:t xml:space="preserve">。</w:t>
      </w:r>
      <w:r/>
    </w:p>
    <w:p>
      <w:pPr>
        <w:ind w:firstLine="422"/>
        <w:rPr>
          <w:rFonts w:hint="eastAsia" w:ascii="宋体" w:hAnsi="宋体" w:cs="宋体"/>
          <w:b/>
          <w:bCs/>
          <w:szCs w:val="21"/>
        </w:rPr>
      </w:pPr>
      <w:r>
        <w:rPr>
          <w:rFonts w:hint="eastAsia" w:ascii="宋体" w:hAnsi="宋体" w:cs="宋体"/>
          <w:b/>
          <w:bCs/>
          <w:szCs w:val="21"/>
        </w:rPr>
        <w:t xml:space="preserve">6、投标报价分项表中“第二部分 零星维护”第104项“设施维护手续办理费用”为不可竞争费用；各投标单位投标报价时，不可竞争费用不得让利或随意调整，否则视为无效报价。</w:t>
      </w:r>
      <w:r/>
    </w:p>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b/>
          <w:szCs w:val="21"/>
        </w:rPr>
      </w:pPr>
      <w:r>
        <w:rPr>
          <w:rFonts w:hint="eastAsia" w:ascii="宋体" w:hAnsi="宋体"/>
          <w:b/>
          <w:szCs w:val="21"/>
        </w:rPr>
      </w:r>
      <w:r/>
    </w:p>
    <w:p>
      <w:pPr>
        <w:ind w:firstLine="422"/>
        <w:rPr>
          <w:rFonts w:hint="eastAsia" w:ascii="宋体" w:hAnsi="宋体"/>
          <w:szCs w:val="21"/>
        </w:rPr>
      </w:pPr>
      <w:r>
        <w:rPr>
          <w:rFonts w:hint="eastAsia" w:ascii="宋体" w:hAnsi="宋体"/>
          <w:b/>
          <w:szCs w:val="21"/>
        </w:rPr>
        <w:t xml:space="preserve">格式</w:t>
      </w:r>
      <w:r>
        <w:rPr>
          <w:rFonts w:hint="eastAsia" w:ascii="宋体" w:hAnsi="宋体"/>
          <w:b/>
          <w:szCs w:val="21"/>
        </w:rPr>
        <w:t xml:space="preserve">5</w:t>
      </w:r>
      <w:r>
        <w:rPr>
          <w:rFonts w:hint="eastAsia" w:ascii="宋体" w:hAnsi="宋体"/>
          <w:b/>
          <w:bCs/>
          <w:szCs w:val="21"/>
        </w:rPr>
        <w:t xml:space="preserve">、拟投入本项目人员配备一览表</w:t>
      </w:r>
      <w:r>
        <w:rPr>
          <w:rFonts w:hint="eastAsia" w:ascii="宋体" w:hAnsi="宋体"/>
          <w:b/>
          <w:szCs w:val="21"/>
        </w:rPr>
        <w:t xml:space="preserve">：</w:t>
      </w:r>
      <w:r/>
    </w:p>
    <w:p>
      <w:pPr>
        <w:pStyle w:val="751"/>
        <w:ind w:firstLine="420"/>
        <w:spacing w:line="400" w:lineRule="exact"/>
        <w:rPr>
          <w:rFonts w:hint="eastAsia" w:hAnsi="宋体" w:eastAsia="宋体"/>
          <w:sz w:val="21"/>
          <w:szCs w:val="21"/>
        </w:rPr>
      </w:pPr>
      <w:r>
        <w:rPr>
          <w:rFonts w:hint="eastAsia" w:hAnsi="宋体" w:eastAsia="宋体"/>
          <w:sz w:val="21"/>
          <w:szCs w:val="21"/>
        </w:rPr>
      </w:r>
      <w:r/>
    </w:p>
    <w:p>
      <w:pPr>
        <w:pStyle w:val="751"/>
        <w:ind w:firstLine="643"/>
        <w:jc w:val="center"/>
        <w:spacing w:line="400" w:lineRule="exact"/>
        <w:rPr>
          <w:rFonts w:hint="eastAsia" w:hAnsi="宋体" w:eastAsia="宋体"/>
          <w:b/>
          <w:sz w:val="21"/>
          <w:szCs w:val="21"/>
        </w:rPr>
      </w:pPr>
      <w:r>
        <w:rPr>
          <w:rFonts w:hint="eastAsia" w:hAnsi="宋体" w:eastAsia="宋体"/>
          <w:b/>
          <w:sz w:val="21"/>
          <w:szCs w:val="21"/>
        </w:rPr>
        <w:t xml:space="preserve">拟投入本项目人员配备一览表</w:t>
      </w:r>
      <w:r/>
    </w:p>
    <w:p>
      <w:pPr>
        <w:spacing w:line="400" w:lineRule="exact"/>
        <w:rPr>
          <w:rFonts w:hint="eastAsia" w:ascii="宋体" w:hAnsi="宋体"/>
          <w:b/>
          <w:bCs/>
          <w:spacing w:val="20"/>
          <w:szCs w:val="21"/>
        </w:rPr>
      </w:pPr>
      <w:r>
        <w:rPr>
          <w:rFonts w:hint="eastAsia" w:ascii="宋体" w:hAnsi="宋体"/>
          <w:b/>
          <w:bCs/>
          <w:spacing w:val="20"/>
          <w:szCs w:val="21"/>
        </w:rPr>
      </w:r>
      <w:r/>
    </w:p>
    <w:tbl>
      <w:tblPr>
        <w:tblW w:w="9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434"/>
        <w:gridCol w:w="1004"/>
        <w:gridCol w:w="737"/>
        <w:gridCol w:w="737"/>
        <w:gridCol w:w="737"/>
        <w:gridCol w:w="737"/>
        <w:gridCol w:w="737"/>
        <w:gridCol w:w="1191"/>
        <w:gridCol w:w="1168"/>
      </w:tblGrid>
      <w:tr>
        <w:trPr>
          <w:jc w:val="center"/>
          <w:trHeight w:val="680"/>
        </w:trPr>
        <w:tc>
          <w:tcPr>
            <w:tcW w:w="755"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序号</w:t>
            </w:r>
            <w:r/>
          </w:p>
        </w:tc>
        <w:tc>
          <w:tcPr>
            <w:tcW w:w="143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项目组所任职务</w:t>
            </w:r>
            <w:r/>
          </w:p>
        </w:tc>
        <w:tc>
          <w:tcPr>
            <w:tcW w:w="100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姓名</w:t>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性别</w:t>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年龄</w:t>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学历</w:t>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专业</w:t>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职称</w:t>
            </w:r>
            <w:r/>
          </w:p>
        </w:tc>
        <w:tc>
          <w:tcPr>
            <w:tcW w:w="1191"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专业培训及证书</w:t>
            </w:r>
            <w:r/>
          </w:p>
        </w:tc>
        <w:tc>
          <w:tcPr>
            <w:tcW w:w="1168"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项目经历或主要工作业绩</w:t>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1</w:t>
            </w:r>
            <w:r/>
          </w:p>
        </w:tc>
        <w:tc>
          <w:tcPr>
            <w:tcW w:w="143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项目负责人</w:t>
            </w:r>
            <w:r/>
          </w:p>
        </w:tc>
        <w:tc>
          <w:tcPr>
            <w:tcW w:w="100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91"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2</w:t>
            </w:r>
            <w:r/>
          </w:p>
        </w:tc>
        <w:tc>
          <w:tcPr>
            <w:tcW w:w="143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技术负责人</w:t>
            </w:r>
            <w:r/>
          </w:p>
        </w:tc>
        <w:tc>
          <w:tcPr>
            <w:tcW w:w="100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91"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3</w:t>
            </w:r>
            <w:r/>
          </w:p>
        </w:tc>
        <w:tc>
          <w:tcPr>
            <w:tcW w:w="143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安全负责人</w:t>
            </w:r>
            <w:r/>
          </w:p>
        </w:tc>
        <w:tc>
          <w:tcPr>
            <w:tcW w:w="100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91"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4</w:t>
            </w:r>
            <w:r/>
          </w:p>
        </w:tc>
        <w:tc>
          <w:tcPr>
            <w:tcW w:w="143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现场管理人员</w:t>
            </w:r>
            <w:r/>
          </w:p>
        </w:tc>
        <w:tc>
          <w:tcPr>
            <w:tcW w:w="100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91"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43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00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91"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43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00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91"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r>
      <w:tr>
        <w:trPr>
          <w:jc w:val="center"/>
          <w:trHeight w:val="680"/>
        </w:trPr>
        <w:tc>
          <w:tcPr>
            <w:tcW w:w="755"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w:t>
            </w:r>
            <w:r/>
          </w:p>
        </w:tc>
        <w:tc>
          <w:tcPr>
            <w:tcW w:w="143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w:t>
            </w:r>
            <w:r/>
          </w:p>
        </w:tc>
        <w:tc>
          <w:tcPr>
            <w:tcW w:w="1004"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737"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91"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c>
          <w:tcPr>
            <w:tcW w:w="1168" w:type="dxa"/>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r>
            <w:r/>
          </w:p>
        </w:tc>
      </w:tr>
    </w:tbl>
    <w:p>
      <w:pPr>
        <w:spacing w:line="400" w:lineRule="exact"/>
        <w:rPr>
          <w:rFonts w:hint="eastAsia" w:ascii="宋体" w:hAnsi="宋体"/>
          <w:szCs w:val="21"/>
        </w:rPr>
      </w:pPr>
      <w:r>
        <w:rPr>
          <w:rFonts w:hint="eastAsia" w:ascii="宋体" w:hAnsi="宋体"/>
          <w:szCs w:val="21"/>
        </w:rPr>
      </w:r>
      <w:r/>
    </w:p>
    <w:p>
      <w:pPr>
        <w:pStyle w:val="751"/>
        <w:spacing w:line="400" w:lineRule="exact"/>
        <w:rPr>
          <w:rFonts w:hint="eastAsia" w:hAnsi="宋体" w:eastAsia="宋体"/>
          <w:b/>
          <w:sz w:val="21"/>
          <w:szCs w:val="21"/>
        </w:rPr>
      </w:pPr>
      <w:r>
        <w:rPr>
          <w:rFonts w:hint="eastAsia" w:hAnsi="宋体" w:eastAsia="宋体"/>
          <w:b/>
          <w:sz w:val="21"/>
          <w:szCs w:val="21"/>
        </w:rPr>
      </w:r>
      <w:r/>
    </w:p>
    <w:p>
      <w:pPr>
        <w:ind w:firstLine="210"/>
        <w:spacing w:line="360" w:lineRule="auto"/>
        <w:rPr>
          <w:rFonts w:hint="eastAsia" w:ascii="宋体" w:hAnsi="宋体"/>
          <w:szCs w:val="21"/>
        </w:rPr>
      </w:pPr>
      <w:r>
        <w:rPr>
          <w:rFonts w:hint="eastAsia" w:ascii="宋体" w:hAnsi="宋体" w:cs="宋体"/>
          <w:szCs w:val="21"/>
          <w:lang w:val="zh-CN"/>
        </w:rPr>
        <w:t xml:space="preserve">投标人（公章）：</w:t>
      </w:r>
      <w:r/>
    </w:p>
    <w:p>
      <w:pPr>
        <w:ind w:firstLine="210"/>
        <w:spacing w:line="360" w:lineRule="auto"/>
        <w:rPr>
          <w:rFonts w:hint="eastAsia"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hint="eastAsia" w:ascii="宋体" w:hAnsi="宋体"/>
          <w:szCs w:val="21"/>
        </w:rPr>
      </w:pPr>
      <w:r>
        <w:rPr>
          <w:rFonts w:hint="eastAsia" w:ascii="宋体" w:hAnsi="宋体" w:cs="宋体"/>
          <w:szCs w:val="21"/>
          <w:lang w:val="zh-CN"/>
        </w:rPr>
        <w:t xml:space="preserve">日期：</w:t>
      </w:r>
      <w:r>
        <w:rPr>
          <w:rFonts w:ascii="宋体" w:hAnsi="宋体"/>
          <w:szCs w:val="21"/>
        </w:rPr>
        <w:t xml:space="preserve">      </w:t>
      </w:r>
      <w:r>
        <w:rPr>
          <w:rFonts w:hint="eastAsia" w:ascii="宋体" w:hAnsi="宋体" w:cs="宋体"/>
          <w:szCs w:val="21"/>
          <w:lang w:val="zh-CN"/>
        </w:rPr>
        <w:t xml:space="preserve">年</w:t>
      </w:r>
      <w:r>
        <w:rPr>
          <w:rFonts w:ascii="宋体" w:hAnsi="宋体"/>
          <w:szCs w:val="21"/>
        </w:rPr>
        <w:t xml:space="preserve">     </w:t>
      </w:r>
      <w:r>
        <w:rPr>
          <w:rFonts w:hint="eastAsia" w:ascii="宋体" w:hAnsi="宋体" w:cs="宋体"/>
          <w:szCs w:val="21"/>
          <w:lang w:val="zh-CN"/>
        </w:rPr>
        <w:t xml:space="preserve">月</w:t>
      </w:r>
      <w:r>
        <w:rPr>
          <w:rFonts w:ascii="宋体" w:hAnsi="宋体"/>
          <w:szCs w:val="21"/>
        </w:rPr>
        <w:t xml:space="preserve">     </w:t>
      </w:r>
      <w:r>
        <w:rPr>
          <w:rFonts w:hint="eastAsia" w:ascii="宋体" w:hAnsi="宋体" w:cs="宋体"/>
          <w:szCs w:val="21"/>
          <w:lang w:val="zh-CN"/>
        </w:rPr>
        <w:t xml:space="preserve">日</w:t>
      </w:r>
      <w:r/>
    </w:p>
    <w:p>
      <w:pPr>
        <w:spacing w:line="400" w:lineRule="exact"/>
        <w:rPr>
          <w:rFonts w:hint="eastAsia" w:ascii="宋体" w:hAnsi="宋体"/>
          <w:szCs w:val="21"/>
        </w:rPr>
      </w:pPr>
      <w:r>
        <w:rPr>
          <w:rFonts w:ascii="宋体" w:hAnsi="宋体"/>
          <w:szCs w:val="21"/>
        </w:rPr>
        <w:t xml:space="preserve"> </w:t>
      </w:r>
      <w:r/>
    </w:p>
    <w:p>
      <w:pPr>
        <w:spacing w:line="400" w:lineRule="exact"/>
        <w:rPr>
          <w:rFonts w:hint="eastAsia" w:ascii="宋体" w:hAnsi="宋体"/>
          <w:szCs w:val="21"/>
        </w:rPr>
      </w:pPr>
      <w:r>
        <w:rPr>
          <w:rFonts w:hint="eastAsia" w:ascii="宋体" w:hAnsi="宋体"/>
          <w:szCs w:val="21"/>
        </w:rPr>
      </w:r>
      <w:r/>
    </w:p>
    <w:p>
      <w:pPr>
        <w:pStyle w:val="751"/>
        <w:spacing w:line="400" w:lineRule="exact"/>
        <w:rPr>
          <w:rFonts w:hint="eastAsia" w:hAnsi="宋体" w:eastAsia="宋体"/>
          <w:sz w:val="21"/>
          <w:szCs w:val="21"/>
        </w:rPr>
      </w:pPr>
      <w:r>
        <w:rPr>
          <w:rFonts w:hint="eastAsia" w:hAnsi="宋体" w:eastAsia="宋体"/>
          <w:sz w:val="21"/>
          <w:szCs w:val="21"/>
        </w:rPr>
        <w:t xml:space="preserve"> </w:t>
      </w:r>
      <w:r/>
    </w:p>
    <w:p>
      <w:pPr>
        <w:spacing w:line="400" w:lineRule="exact"/>
        <w:rPr>
          <w:rFonts w:hint="eastAsia" w:ascii="宋体" w:hAnsi="宋体"/>
          <w:b/>
          <w:szCs w:val="21"/>
        </w:rPr>
      </w:pPr>
      <w:r>
        <w:rPr>
          <w:rFonts w:ascii="宋体" w:hAnsi="宋体"/>
          <w:b/>
          <w:szCs w:val="21"/>
        </w:rPr>
        <w:br w:type="page" w:clear="all"/>
      </w:r>
      <w:r>
        <w:rPr>
          <w:rFonts w:hint="eastAsia" w:ascii="宋体" w:hAnsi="宋体"/>
          <w:b/>
          <w:szCs w:val="21"/>
        </w:rPr>
        <w:t xml:space="preserve">格式</w:t>
      </w:r>
      <w:r>
        <w:rPr>
          <w:rFonts w:hint="eastAsia" w:ascii="宋体" w:hAnsi="宋体"/>
          <w:b/>
          <w:szCs w:val="21"/>
        </w:rPr>
        <w:t xml:space="preserve">6</w:t>
      </w:r>
      <w:r>
        <w:rPr>
          <w:rFonts w:hint="eastAsia" w:ascii="宋体" w:hAnsi="宋体"/>
          <w:b/>
          <w:szCs w:val="21"/>
        </w:rPr>
        <w:t xml:space="preserve">：拟投入本项目车辆（设备）表</w:t>
      </w:r>
      <w:r/>
    </w:p>
    <w:p>
      <w:pPr>
        <w:spacing w:line="400" w:lineRule="exact"/>
        <w:rPr>
          <w:rFonts w:hint="eastAsia" w:ascii="宋体" w:hAnsi="宋体"/>
          <w:b/>
          <w:szCs w:val="21"/>
        </w:rPr>
      </w:pPr>
      <w:r>
        <w:rPr>
          <w:rFonts w:hint="eastAsia" w:ascii="宋体" w:hAnsi="宋体"/>
          <w:b/>
          <w:szCs w:val="21"/>
        </w:rPr>
      </w:r>
      <w:r/>
    </w:p>
    <w:p>
      <w:pPr>
        <w:pStyle w:val="751"/>
        <w:ind w:firstLine="422"/>
        <w:jc w:val="center"/>
        <w:spacing w:line="400" w:lineRule="exact"/>
        <w:rPr>
          <w:rFonts w:hint="eastAsia" w:hAnsi="宋体" w:eastAsia="宋体"/>
          <w:b/>
          <w:sz w:val="21"/>
          <w:szCs w:val="21"/>
        </w:rPr>
      </w:pPr>
      <w:r>
        <w:rPr>
          <w:rFonts w:hint="eastAsia" w:hAnsi="宋体" w:eastAsia="宋体"/>
          <w:b/>
          <w:sz w:val="21"/>
          <w:szCs w:val="21"/>
        </w:rPr>
        <w:t xml:space="preserve">拟投入本项目车辆（设备）表</w:t>
      </w:r>
      <w:r/>
    </w:p>
    <w:p>
      <w:pPr>
        <w:spacing w:line="400" w:lineRule="exact"/>
        <w:rPr>
          <w:rFonts w:hint="eastAsia" w:ascii="宋体" w:hAnsi="宋体"/>
          <w:spacing w:val="20"/>
          <w:szCs w:val="21"/>
        </w:rPr>
      </w:pPr>
      <w:r>
        <w:rPr>
          <w:rFonts w:hint="eastAsia" w:ascii="宋体" w:hAnsi="宋体"/>
          <w:spacing w:val="20"/>
          <w:szCs w:val="21"/>
        </w:rPr>
        <w:t xml:space="preserve">采购编号：</w:t>
      </w:r>
      <w:r>
        <w:rPr>
          <w:rFonts w:hint="eastAsia" w:ascii="宋体" w:hAnsi="宋体"/>
          <w:szCs w:val="21"/>
        </w:rPr>
        <w:t xml:space="preserve"> </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5"/>
        <w:gridCol w:w="1276"/>
        <w:gridCol w:w="1134"/>
        <w:gridCol w:w="851"/>
        <w:gridCol w:w="850"/>
        <w:gridCol w:w="1276"/>
        <w:gridCol w:w="1134"/>
        <w:gridCol w:w="851"/>
        <w:gridCol w:w="850"/>
        <w:gridCol w:w="992"/>
      </w:tblGrid>
      <w:tr>
        <w:trPr/>
        <w:tc>
          <w:tcPr>
            <w:tcW w:w="425" w:type="dxa"/>
            <w:vAlign w:val="center"/>
            <w:textDirection w:val="lrTb"/>
            <w:noWrap w:val="false"/>
          </w:tcPr>
          <w:p>
            <w:pPr>
              <w:jc w:val="center"/>
              <w:rPr>
                <w:rFonts w:hint="eastAsia" w:ascii="宋体" w:hAnsi="宋体" w:cs="宋体"/>
              </w:rPr>
            </w:pPr>
            <w:r>
              <w:rPr>
                <w:rFonts w:hint="eastAsia" w:ascii="宋体" w:hAnsi="宋体" w:cs="宋体"/>
              </w:rPr>
              <w:t xml:space="preserve">序</w:t>
            </w:r>
            <w:r/>
          </w:p>
          <w:p>
            <w:pPr>
              <w:jc w:val="center"/>
              <w:rPr>
                <w:rFonts w:hint="eastAsia" w:ascii="宋体" w:hAnsi="宋体" w:cs="宋体"/>
              </w:rPr>
            </w:pPr>
            <w:r>
              <w:rPr>
                <w:rFonts w:hint="eastAsia" w:ascii="宋体" w:hAnsi="宋体" w:cs="宋体"/>
              </w:rPr>
              <w:t xml:space="preserve">号</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车辆类型</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t xml:space="preserve">国家批准</w:t>
            </w:r>
            <w:r/>
          </w:p>
          <w:p>
            <w:pPr>
              <w:jc w:val="center"/>
              <w:rPr>
                <w:rFonts w:hint="eastAsia" w:ascii="宋体" w:hAnsi="宋体" w:cs="宋体"/>
              </w:rPr>
            </w:pPr>
            <w:r>
              <w:rPr>
                <w:rFonts w:hint="eastAsia" w:ascii="宋体" w:hAnsi="宋体" w:cs="宋体"/>
              </w:rPr>
              <w:t xml:space="preserve">型号</w:t>
            </w:r>
            <w:r/>
          </w:p>
        </w:tc>
        <w:tc>
          <w:tcPr>
            <w:tcW w:w="851" w:type="dxa"/>
            <w:vAlign w:val="center"/>
            <w:textDirection w:val="lrTb"/>
            <w:noWrap w:val="false"/>
          </w:tcPr>
          <w:p>
            <w:pPr>
              <w:jc w:val="center"/>
              <w:rPr>
                <w:rFonts w:hint="eastAsia" w:ascii="宋体" w:hAnsi="宋体" w:cs="宋体"/>
              </w:rPr>
            </w:pPr>
            <w:r>
              <w:rPr>
                <w:rFonts w:hint="eastAsia" w:ascii="宋体" w:hAnsi="宋体" w:cs="宋体"/>
              </w:rPr>
              <w:t xml:space="preserve">机动车所有人</w:t>
            </w:r>
            <w:r/>
          </w:p>
        </w:tc>
        <w:tc>
          <w:tcPr>
            <w:tcW w:w="850" w:type="dxa"/>
            <w:vAlign w:val="center"/>
            <w:textDirection w:val="lrTb"/>
            <w:noWrap w:val="false"/>
          </w:tcPr>
          <w:p>
            <w:pPr>
              <w:jc w:val="center"/>
              <w:rPr>
                <w:rFonts w:hint="eastAsia" w:ascii="宋体" w:hAnsi="宋体" w:cs="宋体"/>
              </w:rPr>
            </w:pPr>
            <w:r>
              <w:rPr>
                <w:rFonts w:hint="eastAsia" w:ascii="宋体" w:hAnsi="宋体" w:cs="宋体"/>
              </w:rPr>
              <w:t xml:space="preserve">车牌号</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发动机号/       </w:t>
            </w:r>
            <w:r/>
          </w:p>
          <w:p>
            <w:pPr>
              <w:jc w:val="center"/>
              <w:rPr>
                <w:rFonts w:hint="eastAsia" w:ascii="宋体" w:hAnsi="宋体" w:cs="宋体"/>
              </w:rPr>
            </w:pPr>
            <w:r>
              <w:rPr>
                <w:rFonts w:hint="eastAsia" w:ascii="宋体" w:hAnsi="宋体" w:cs="宋体"/>
              </w:rPr>
              <w:t xml:space="preserve">车架号</w:t>
            </w:r>
            <w:r/>
          </w:p>
        </w:tc>
        <w:tc>
          <w:tcPr>
            <w:tcW w:w="1134" w:type="dxa"/>
            <w:textDirection w:val="lrTb"/>
            <w:noWrap w:val="false"/>
          </w:tcPr>
          <w:p>
            <w:pPr>
              <w:jc w:val="center"/>
              <w:rPr>
                <w:rFonts w:hint="eastAsia" w:ascii="宋体" w:hAnsi="宋体" w:cs="宋体"/>
              </w:rPr>
            </w:pPr>
            <w:r>
              <w:rPr>
                <w:rFonts w:hint="eastAsia" w:ascii="宋体" w:hAnsi="宋体" w:cs="宋体"/>
              </w:rPr>
              <w:t xml:space="preserve">登记证书</w:t>
            </w:r>
            <w:r/>
          </w:p>
          <w:p>
            <w:pPr>
              <w:jc w:val="center"/>
              <w:rPr>
                <w:rFonts w:hint="eastAsia" w:ascii="宋体" w:hAnsi="宋体" w:cs="宋体"/>
              </w:rPr>
            </w:pPr>
            <w:r>
              <w:rPr>
                <w:rFonts w:hint="eastAsia" w:ascii="宋体" w:hAnsi="宋体" w:cs="宋体"/>
              </w:rPr>
              <w:t xml:space="preserve">登记日期</w:t>
            </w:r>
            <w:r/>
          </w:p>
        </w:tc>
        <w:tc>
          <w:tcPr>
            <w:tcW w:w="851" w:type="dxa"/>
            <w:textDirection w:val="lrTb"/>
            <w:noWrap w:val="false"/>
          </w:tcPr>
          <w:p>
            <w:pPr>
              <w:jc w:val="center"/>
              <w:rPr>
                <w:rFonts w:hint="eastAsia" w:ascii="宋体" w:hAnsi="宋体" w:cs="宋体"/>
              </w:rPr>
            </w:pPr>
            <w:r>
              <w:rPr>
                <w:rFonts w:hint="eastAsia" w:ascii="宋体" w:hAnsi="宋体" w:cs="宋体"/>
              </w:rPr>
              <w:t xml:space="preserve">是否有过户记录</w:t>
            </w:r>
            <w:r/>
          </w:p>
        </w:tc>
        <w:tc>
          <w:tcPr>
            <w:tcW w:w="850" w:type="dxa"/>
            <w:vAlign w:val="center"/>
            <w:textDirection w:val="lrTb"/>
            <w:noWrap w:val="false"/>
          </w:tcPr>
          <w:p>
            <w:pPr>
              <w:jc w:val="center"/>
              <w:rPr>
                <w:rFonts w:hint="eastAsia" w:ascii="宋体" w:hAnsi="宋体" w:cs="宋体"/>
              </w:rPr>
            </w:pPr>
            <w:r>
              <w:rPr>
                <w:rFonts w:hint="eastAsia" w:ascii="宋体" w:hAnsi="宋体" w:cs="宋体"/>
              </w:rPr>
              <w:t xml:space="preserve">交强险保单单号</w:t>
            </w:r>
            <w:r/>
          </w:p>
        </w:tc>
        <w:tc>
          <w:tcPr>
            <w:tcW w:w="992" w:type="dxa"/>
            <w:textDirection w:val="lrTb"/>
            <w:noWrap w:val="false"/>
          </w:tcPr>
          <w:p>
            <w:pPr>
              <w:jc w:val="center"/>
              <w:rPr>
                <w:rFonts w:hint="eastAsia" w:ascii="宋体" w:hAnsi="宋体" w:cs="宋体"/>
              </w:rPr>
            </w:pPr>
            <w:r>
              <w:rPr>
                <w:rFonts w:hint="eastAsia" w:ascii="宋体" w:hAnsi="宋体" w:cs="宋体"/>
              </w:rPr>
              <w:t xml:space="preserve">备注（自有或租赁）</w:t>
            </w:r>
            <w:r/>
          </w:p>
        </w:tc>
      </w:tr>
      <w:tr>
        <w:trPr>
          <w:trHeight w:val="898"/>
        </w:trPr>
        <w:tc>
          <w:tcPr>
            <w:tcW w:w="425"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皮卡巡视车</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c>
          <w:tcPr>
            <w:tcW w:w="1134" w:type="dxa"/>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992" w:type="dxa"/>
            <w:textDirection w:val="lrTb"/>
            <w:noWrap w:val="false"/>
          </w:tcPr>
          <w:p>
            <w:pPr>
              <w:jc w:val="center"/>
              <w:rPr>
                <w:rFonts w:hint="eastAsia" w:ascii="宋体" w:hAnsi="宋体" w:cs="宋体"/>
              </w:rPr>
            </w:pPr>
            <w:r>
              <w:rPr>
                <w:rFonts w:hint="eastAsia" w:ascii="宋体" w:hAnsi="宋体" w:cs="宋体"/>
              </w:rPr>
            </w:r>
            <w:r/>
          </w:p>
        </w:tc>
      </w:tr>
      <w:tr>
        <w:trPr>
          <w:trHeight w:val="898"/>
        </w:trPr>
        <w:tc>
          <w:tcPr>
            <w:tcW w:w="425"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小型运输车辆</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c>
          <w:tcPr>
            <w:tcW w:w="1134" w:type="dxa"/>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992" w:type="dxa"/>
            <w:textDirection w:val="lrTb"/>
            <w:noWrap w:val="false"/>
          </w:tcPr>
          <w:p>
            <w:pPr>
              <w:jc w:val="center"/>
              <w:rPr>
                <w:rFonts w:hint="eastAsia" w:ascii="宋体" w:hAnsi="宋体" w:cs="宋体"/>
              </w:rPr>
            </w:pPr>
            <w:r>
              <w:rPr>
                <w:rFonts w:hint="eastAsia" w:ascii="宋体" w:hAnsi="宋体" w:cs="宋体"/>
              </w:rPr>
            </w:r>
            <w:r/>
          </w:p>
        </w:tc>
      </w:tr>
      <w:tr>
        <w:trPr>
          <w:trHeight w:val="853"/>
        </w:trPr>
        <w:tc>
          <w:tcPr>
            <w:tcW w:w="425"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小型压路机</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c>
          <w:tcPr>
            <w:tcW w:w="1134" w:type="dxa"/>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992" w:type="dxa"/>
            <w:textDirection w:val="lrTb"/>
            <w:noWrap w:val="false"/>
          </w:tcPr>
          <w:p>
            <w:pPr>
              <w:jc w:val="center"/>
              <w:rPr>
                <w:rFonts w:hint="eastAsia" w:ascii="宋体" w:hAnsi="宋体" w:cs="宋体"/>
              </w:rPr>
            </w:pPr>
            <w:r>
              <w:rPr>
                <w:rFonts w:hint="eastAsia" w:ascii="宋体" w:hAnsi="宋体" w:cs="宋体"/>
              </w:rPr>
            </w:r>
            <w:r/>
          </w:p>
        </w:tc>
      </w:tr>
      <w:tr>
        <w:trPr>
          <w:trHeight w:val="898"/>
        </w:trPr>
        <w:tc>
          <w:tcPr>
            <w:tcW w:w="425"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多功能养护车</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c>
          <w:tcPr>
            <w:tcW w:w="1134" w:type="dxa"/>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992" w:type="dxa"/>
            <w:textDirection w:val="lrTb"/>
            <w:noWrap w:val="false"/>
          </w:tcPr>
          <w:p>
            <w:pPr>
              <w:jc w:val="center"/>
              <w:rPr>
                <w:rFonts w:hint="eastAsia" w:ascii="宋体" w:hAnsi="宋体" w:cs="宋体"/>
              </w:rPr>
            </w:pPr>
            <w:r>
              <w:rPr>
                <w:rFonts w:hint="eastAsia" w:ascii="宋体" w:hAnsi="宋体" w:cs="宋体"/>
              </w:rPr>
            </w:r>
            <w:r/>
          </w:p>
        </w:tc>
      </w:tr>
      <w:tr>
        <w:trPr>
          <w:trHeight w:val="898"/>
        </w:trPr>
        <w:tc>
          <w:tcPr>
            <w:tcW w:w="425"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摊铺机</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c>
          <w:tcPr>
            <w:tcW w:w="1134" w:type="dxa"/>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992" w:type="dxa"/>
            <w:textDirection w:val="lrTb"/>
            <w:noWrap w:val="false"/>
          </w:tcPr>
          <w:p>
            <w:pPr>
              <w:jc w:val="center"/>
              <w:rPr>
                <w:rFonts w:hint="eastAsia" w:ascii="宋体" w:hAnsi="宋体" w:cs="宋体"/>
              </w:rPr>
            </w:pPr>
            <w:r>
              <w:rPr>
                <w:rFonts w:hint="eastAsia" w:ascii="宋体" w:hAnsi="宋体" w:cs="宋体"/>
              </w:rPr>
            </w:r>
            <w:r/>
          </w:p>
        </w:tc>
      </w:tr>
      <w:tr>
        <w:trPr>
          <w:trHeight w:val="898"/>
        </w:trPr>
        <w:tc>
          <w:tcPr>
            <w:tcW w:w="425"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铣刨机</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c>
          <w:tcPr>
            <w:tcW w:w="1134" w:type="dxa"/>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992" w:type="dxa"/>
            <w:textDirection w:val="lrTb"/>
            <w:noWrap w:val="false"/>
          </w:tcPr>
          <w:p>
            <w:pPr>
              <w:jc w:val="center"/>
              <w:rPr>
                <w:rFonts w:hint="eastAsia" w:ascii="宋体" w:hAnsi="宋体" w:cs="宋体"/>
              </w:rPr>
            </w:pPr>
            <w:r>
              <w:rPr>
                <w:rFonts w:hint="eastAsia" w:ascii="宋体" w:hAnsi="宋体" w:cs="宋体"/>
              </w:rPr>
            </w:r>
            <w:r/>
          </w:p>
        </w:tc>
      </w:tr>
      <w:tr>
        <w:trPr>
          <w:trHeight w:val="898"/>
        </w:trPr>
        <w:tc>
          <w:tcPr>
            <w:tcW w:w="425" w:type="dxa"/>
            <w:vAlign w:val="center"/>
            <w:textDirection w:val="lrTb"/>
            <w:noWrap w:val="false"/>
          </w:tcPr>
          <w:p>
            <w:pPr>
              <w:jc w:val="center"/>
              <w:rPr>
                <w:rFonts w:hint="eastAsia" w:ascii="宋体" w:hAnsi="宋体" w:cs="宋体"/>
              </w:rPr>
            </w:pPr>
            <w:r>
              <w:rPr>
                <w:rFonts w:hint="eastAsia" w:ascii="宋体" w:hAnsi="宋体" w:cs="宋体"/>
              </w:rPr>
              <w:t xml:space="preserve">…</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c>
          <w:tcPr>
            <w:tcW w:w="1134" w:type="dxa"/>
            <w:textDirection w:val="lrTb"/>
            <w:noWrap w:val="false"/>
          </w:tcPr>
          <w:p>
            <w:pPr>
              <w:jc w:val="center"/>
              <w:rPr>
                <w:rFonts w:hint="eastAsia" w:ascii="宋体" w:hAnsi="宋体" w:cs="宋体"/>
              </w:rPr>
            </w:pPr>
            <w:r>
              <w:rPr>
                <w:rFonts w:hint="eastAsia" w:ascii="宋体" w:hAnsi="宋体" w:cs="宋体"/>
              </w:rPr>
            </w:r>
            <w:r/>
          </w:p>
        </w:tc>
        <w:tc>
          <w:tcPr>
            <w:tcW w:w="851" w:type="dxa"/>
            <w:textDirection w:val="lrTb"/>
            <w:noWrap w:val="false"/>
          </w:tcPr>
          <w:p>
            <w:pPr>
              <w:jc w:val="center"/>
              <w:rPr>
                <w:rFonts w:hint="eastAsia" w:ascii="宋体" w:hAnsi="宋体" w:cs="宋体"/>
              </w:rPr>
            </w:pPr>
            <w:r>
              <w:rPr>
                <w:rFonts w:hint="eastAsia" w:ascii="宋体" w:hAnsi="宋体" w:cs="宋体"/>
              </w:rPr>
            </w:r>
            <w:r/>
          </w:p>
        </w:tc>
        <w:tc>
          <w:tcPr>
            <w:tcW w:w="850" w:type="dxa"/>
            <w:vAlign w:val="center"/>
            <w:textDirection w:val="lrTb"/>
            <w:noWrap w:val="false"/>
          </w:tcPr>
          <w:p>
            <w:pPr>
              <w:jc w:val="center"/>
              <w:rPr>
                <w:rFonts w:hint="eastAsia" w:ascii="宋体" w:hAnsi="宋体" w:cs="宋体"/>
              </w:rPr>
            </w:pPr>
            <w:r>
              <w:rPr>
                <w:rFonts w:hint="eastAsia" w:ascii="宋体" w:hAnsi="宋体" w:cs="宋体"/>
              </w:rPr>
            </w:r>
            <w:r/>
          </w:p>
        </w:tc>
        <w:tc>
          <w:tcPr>
            <w:tcW w:w="992" w:type="dxa"/>
            <w:textDirection w:val="lrTb"/>
            <w:noWrap w:val="false"/>
          </w:tcPr>
          <w:p>
            <w:pPr>
              <w:jc w:val="center"/>
              <w:rPr>
                <w:rFonts w:hint="eastAsia" w:ascii="宋体" w:hAnsi="宋体" w:cs="宋体"/>
              </w:rPr>
            </w:pPr>
            <w:r>
              <w:rPr>
                <w:rFonts w:hint="eastAsia" w:ascii="宋体" w:hAnsi="宋体" w:cs="宋体"/>
              </w:rPr>
            </w:r>
            <w:r/>
          </w:p>
        </w:tc>
      </w:tr>
    </w:tbl>
    <w:p>
      <w:pPr>
        <w:spacing w:line="400" w:lineRule="exact"/>
        <w:rPr>
          <w:rFonts w:hint="eastAsia" w:ascii="宋体" w:hAnsi="宋体"/>
          <w:szCs w:val="21"/>
        </w:rPr>
      </w:pPr>
      <w:r>
        <w:rPr>
          <w:rFonts w:hint="eastAsia" w:ascii="宋体" w:hAnsi="宋体"/>
          <w:szCs w:val="21"/>
        </w:rPr>
      </w:r>
      <w:r/>
    </w:p>
    <w:p>
      <w:pPr>
        <w:ind w:firstLine="210"/>
        <w:spacing w:line="360" w:lineRule="auto"/>
        <w:rPr>
          <w:rFonts w:hint="eastAsia" w:ascii="宋体" w:hAnsi="宋体"/>
          <w:szCs w:val="21"/>
        </w:rPr>
      </w:pPr>
      <w:r>
        <w:rPr>
          <w:rFonts w:hint="eastAsia" w:ascii="宋体" w:hAnsi="宋体" w:cs="宋体"/>
          <w:szCs w:val="21"/>
          <w:lang w:val="zh-CN"/>
        </w:rPr>
        <w:t xml:space="preserve">投标人（公章）：</w:t>
      </w:r>
      <w:r/>
    </w:p>
    <w:p>
      <w:pPr>
        <w:ind w:firstLine="210"/>
        <w:spacing w:line="360" w:lineRule="auto"/>
        <w:rPr>
          <w:rFonts w:hint="eastAsia"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hint="eastAsia" w:ascii="宋体" w:hAnsi="宋体"/>
          <w:szCs w:val="21"/>
        </w:rPr>
      </w:pPr>
      <w:r>
        <w:rPr>
          <w:rFonts w:hint="eastAsia" w:ascii="宋体" w:hAnsi="宋体" w:cs="宋体"/>
          <w:szCs w:val="21"/>
          <w:lang w:val="zh-CN"/>
        </w:rPr>
        <w:t xml:space="preserve">日期：</w:t>
      </w:r>
      <w:r>
        <w:rPr>
          <w:rFonts w:ascii="宋体" w:hAnsi="宋体"/>
          <w:szCs w:val="21"/>
        </w:rPr>
        <w:t xml:space="preserve">      </w:t>
      </w:r>
      <w:r>
        <w:rPr>
          <w:rFonts w:hint="eastAsia" w:ascii="宋体" w:hAnsi="宋体" w:cs="宋体"/>
          <w:szCs w:val="21"/>
          <w:lang w:val="zh-CN"/>
        </w:rPr>
        <w:t xml:space="preserve">年</w:t>
      </w:r>
      <w:r>
        <w:rPr>
          <w:rFonts w:ascii="宋体" w:hAnsi="宋体"/>
          <w:szCs w:val="21"/>
        </w:rPr>
        <w:t xml:space="preserve">     </w:t>
      </w:r>
      <w:r>
        <w:rPr>
          <w:rFonts w:hint="eastAsia" w:ascii="宋体" w:hAnsi="宋体" w:cs="宋体"/>
          <w:szCs w:val="21"/>
          <w:lang w:val="zh-CN"/>
        </w:rPr>
        <w:t xml:space="preserve">月</w:t>
      </w:r>
      <w:r>
        <w:rPr>
          <w:rFonts w:ascii="宋体" w:hAnsi="宋体"/>
          <w:szCs w:val="21"/>
        </w:rPr>
        <w:t xml:space="preserve">     </w:t>
      </w:r>
      <w:r>
        <w:rPr>
          <w:rFonts w:hint="eastAsia" w:ascii="宋体" w:hAnsi="宋体" w:cs="宋体"/>
          <w:szCs w:val="21"/>
          <w:lang w:val="zh-CN"/>
        </w:rPr>
        <w:t xml:space="preserve">日</w:t>
      </w:r>
      <w:r/>
    </w:p>
    <w:p>
      <w:pPr>
        <w:spacing w:line="400" w:lineRule="exact"/>
        <w:rPr>
          <w:rFonts w:hint="eastAsia" w:ascii="宋体" w:hAnsi="宋体"/>
          <w:szCs w:val="21"/>
        </w:rPr>
      </w:pPr>
      <w:r>
        <w:rPr>
          <w:rFonts w:hint="eastAsia" w:ascii="宋体" w:hAnsi="宋体"/>
          <w:szCs w:val="21"/>
        </w:rPr>
        <w:t xml:space="preserve">注：</w:t>
      </w:r>
      <w:r/>
    </w:p>
    <w:p>
      <w:pPr>
        <w:numPr>
          <w:ilvl w:val="0"/>
          <w:numId w:val="19"/>
        </w:numPr>
        <w:jc w:val="both"/>
        <w:spacing w:line="400" w:lineRule="exact"/>
        <w:widowControl w:val="off"/>
        <w:rPr>
          <w:rFonts w:hint="eastAsia" w:ascii="宋体" w:hAnsi="宋体"/>
          <w:szCs w:val="21"/>
        </w:rPr>
      </w:pPr>
      <w:r>
        <w:rPr>
          <w:rFonts w:hint="eastAsia" w:ascii="宋体" w:hAnsi="宋体"/>
          <w:szCs w:val="21"/>
        </w:rPr>
        <w:t xml:space="preserve">请按以上格式自制表格填写后投标。</w:t>
      </w:r>
      <w:r/>
    </w:p>
    <w:p>
      <w:pPr>
        <w:numPr>
          <w:ilvl w:val="0"/>
          <w:numId w:val="19"/>
        </w:numPr>
        <w:jc w:val="both"/>
        <w:widowControl w:val="off"/>
        <w:rPr>
          <w:rFonts w:hint="eastAsia" w:ascii="宋体" w:hAnsi="宋体" w:cs="宋体"/>
        </w:rPr>
      </w:pPr>
      <w:r>
        <w:rPr>
          <w:rFonts w:hint="eastAsia" w:ascii="宋体" w:hAnsi="宋体" w:cs="宋体"/>
          <w:lang w:val="zh-CN"/>
        </w:rPr>
        <w:t xml:space="preserve">投标文件中必须提供上述车辆的车辆行驶证复印件（若为租赁，必须同时提供租赁合同复印件），对应的车辆行驶证</w:t>
      </w:r>
      <w:r>
        <w:rPr>
          <w:rFonts w:hint="eastAsia" w:ascii="宋体" w:hAnsi="宋体" w:cs="仿宋"/>
          <w:szCs w:val="21"/>
        </w:rPr>
        <w:t xml:space="preserve">复印件</w:t>
      </w:r>
      <w:r>
        <w:rPr>
          <w:rFonts w:hint="eastAsia" w:ascii="宋体" w:hAnsi="宋体" w:cs="宋体"/>
          <w:lang w:val="zh-CN"/>
        </w:rPr>
        <w:t xml:space="preserve">（若为租赁，必须同时提供租赁合同复印件）。</w:t>
      </w:r>
      <w:r/>
    </w:p>
    <w:p>
      <w:pPr>
        <w:ind w:left="360"/>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b/>
          <w:szCs w:val="21"/>
        </w:rPr>
      </w:pPr>
      <w:r>
        <w:rPr>
          <w:rFonts w:ascii="宋体" w:hAnsi="宋体"/>
          <w:szCs w:val="21"/>
        </w:rPr>
        <w:br w:type="page" w:clear="all"/>
      </w:r>
      <w:r>
        <w:rPr>
          <w:rFonts w:ascii="宋体" w:hAnsi="宋体"/>
          <w:b/>
          <w:szCs w:val="21"/>
        </w:rPr>
        <w:t xml:space="preserve">格式</w:t>
      </w:r>
      <w:r>
        <w:rPr>
          <w:rFonts w:hint="eastAsia" w:ascii="宋体" w:hAnsi="宋体"/>
          <w:b/>
          <w:szCs w:val="21"/>
        </w:rPr>
        <w:t xml:space="preserve">7</w:t>
      </w:r>
      <w:r>
        <w:rPr>
          <w:rFonts w:hint="eastAsia" w:ascii="宋体" w:hAnsi="宋体"/>
          <w:b/>
          <w:szCs w:val="21"/>
        </w:rPr>
        <w:t xml:space="preserve">：</w:t>
      </w:r>
      <w:r>
        <w:rPr>
          <w:rFonts w:ascii="宋体" w:hAnsi="宋体"/>
          <w:b/>
          <w:szCs w:val="21"/>
        </w:rPr>
        <w:t xml:space="preserve">工具及易耗品清单表</w:t>
      </w:r>
      <w:r/>
    </w:p>
    <w:p>
      <w:pPr>
        <w:jc w:val="center"/>
        <w:spacing w:line="400" w:lineRule="exact"/>
        <w:rPr>
          <w:rFonts w:hint="eastAsia" w:ascii="宋体" w:hAnsi="宋体"/>
          <w:b/>
          <w:spacing w:val="20"/>
          <w:szCs w:val="21"/>
        </w:rPr>
      </w:pPr>
      <w:r>
        <w:rPr>
          <w:rFonts w:hint="eastAsia" w:ascii="宋体" w:hAnsi="宋体"/>
          <w:b/>
          <w:spacing w:val="20"/>
          <w:szCs w:val="21"/>
        </w:rPr>
      </w:r>
      <w:r/>
    </w:p>
    <w:p>
      <w:pPr>
        <w:jc w:val="center"/>
        <w:spacing w:line="400" w:lineRule="exact"/>
        <w:rPr>
          <w:rFonts w:hint="eastAsia" w:ascii="宋体" w:hAnsi="宋体"/>
          <w:b/>
          <w:bCs/>
          <w:szCs w:val="21"/>
        </w:rPr>
      </w:pPr>
      <w:r>
        <w:rPr>
          <w:rFonts w:ascii="宋体" w:hAnsi="宋体"/>
          <w:b/>
          <w:bCs/>
          <w:szCs w:val="21"/>
        </w:rPr>
        <w:t xml:space="preserve">工具及易耗品清单表</w:t>
      </w:r>
      <w:r/>
    </w:p>
    <w:p>
      <w:pPr>
        <w:jc w:val="center"/>
        <w:spacing w:line="400" w:lineRule="exact"/>
        <w:rPr>
          <w:rFonts w:hint="eastAsia" w:ascii="宋体" w:hAnsi="宋体"/>
          <w:spacing w:val="20"/>
          <w:szCs w:val="21"/>
        </w:rPr>
      </w:pPr>
      <w:r>
        <w:rPr>
          <w:rFonts w:hint="eastAsia" w:ascii="宋体" w:hAnsi="宋体"/>
          <w:spacing w:val="20"/>
          <w:szCs w:val="21"/>
        </w:rPr>
      </w:r>
      <w:r/>
    </w:p>
    <w:p>
      <w:pPr>
        <w:spacing w:line="360" w:lineRule="auto"/>
        <w:rPr>
          <w:rFonts w:hint="eastAsia" w:ascii="宋体" w:hAnsi="宋体"/>
          <w:spacing w:val="20"/>
          <w:szCs w:val="21"/>
        </w:rPr>
      </w:pPr>
      <w:r>
        <w:rPr>
          <w:rFonts w:ascii="宋体" w:hAnsi="宋体"/>
          <w:spacing w:val="20"/>
          <w:szCs w:val="21"/>
        </w:rPr>
        <w:t xml:space="preserve">采购编号：</w:t>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5"/>
        <w:gridCol w:w="1620"/>
        <w:gridCol w:w="1935"/>
        <w:gridCol w:w="1620"/>
        <w:gridCol w:w="1665"/>
        <w:gridCol w:w="1260"/>
      </w:tblGrid>
      <w:tr>
        <w:trPr>
          <w:cantSplit/>
          <w:trHeight w:val="540"/>
        </w:trPr>
        <w:tc>
          <w:tcPr>
            <w:tcW w:w="82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62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名称</w:t>
            </w:r>
            <w:r/>
          </w:p>
        </w:tc>
        <w:tc>
          <w:tcPr>
            <w:tcW w:w="193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品牌规格</w:t>
            </w:r>
            <w:r/>
          </w:p>
        </w:tc>
        <w:tc>
          <w:tcPr>
            <w:tcW w:w="162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生产厂家</w:t>
            </w:r>
            <w:r/>
          </w:p>
        </w:tc>
        <w:tc>
          <w:tcPr>
            <w:tcW w:w="166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单位</w:t>
            </w:r>
            <w:r/>
          </w:p>
        </w:tc>
        <w:tc>
          <w:tcPr>
            <w:tcW w:w="126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480"/>
        </w:trPr>
        <w:tc>
          <w:tcPr>
            <w:tcW w:w="82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firstLine="210"/>
        <w:spacing w:line="360" w:lineRule="auto"/>
        <w:rPr>
          <w:rFonts w:hint="eastAsia" w:ascii="宋体" w:hAnsi="宋体"/>
          <w:szCs w:val="21"/>
        </w:rPr>
      </w:pPr>
      <w:r>
        <w:rPr>
          <w:rFonts w:ascii="宋体" w:hAnsi="宋体"/>
          <w:szCs w:val="21"/>
          <w:lang w:val="zh-CN"/>
        </w:rPr>
        <w:t xml:space="preserve">投标人（公章）：</w:t>
      </w:r>
      <w:r/>
    </w:p>
    <w:p>
      <w:pPr>
        <w:ind w:firstLine="210"/>
        <w:spacing w:line="360" w:lineRule="auto"/>
        <w:rPr>
          <w:rFonts w:hint="eastAsia" w:ascii="宋体" w:hAnsi="宋体"/>
          <w:szCs w:val="21"/>
        </w:rPr>
      </w:pPr>
      <w:r>
        <w:rPr>
          <w:rFonts w:ascii="宋体" w:hAnsi="宋体"/>
          <w:szCs w:val="21"/>
          <w:lang w:val="zh-CN"/>
        </w:rPr>
        <w:t xml:space="preserve">法定代表人或授权委托人：（签字或盖章）</w:t>
      </w:r>
      <w:r/>
    </w:p>
    <w:p>
      <w:pPr>
        <w:ind w:firstLine="210"/>
        <w:spacing w:line="360" w:lineRule="auto"/>
        <w:rPr>
          <w:rFonts w:hint="eastAsia" w:ascii="宋体" w:hAnsi="宋体"/>
          <w:szCs w:val="21"/>
        </w:rPr>
      </w:pPr>
      <w:r>
        <w:rPr>
          <w:rFonts w:ascii="宋体" w:hAnsi="宋体"/>
          <w:szCs w:val="21"/>
          <w:lang w:val="zh-CN"/>
        </w:rPr>
        <w:t xml:space="preserve">日期：</w:t>
      </w:r>
      <w:r>
        <w:rPr>
          <w:rFonts w:ascii="宋体" w:hAnsi="宋体"/>
          <w:szCs w:val="21"/>
        </w:rPr>
        <w:t xml:space="preserve">      </w:t>
      </w:r>
      <w:r>
        <w:rPr>
          <w:rFonts w:ascii="宋体" w:hAnsi="宋体"/>
          <w:szCs w:val="21"/>
          <w:lang w:val="zh-CN"/>
        </w:rPr>
        <w:t xml:space="preserve">年</w:t>
      </w:r>
      <w:r>
        <w:rPr>
          <w:rFonts w:ascii="宋体" w:hAnsi="宋体"/>
          <w:szCs w:val="21"/>
        </w:rPr>
        <w:t xml:space="preserve">     </w:t>
      </w:r>
      <w:r>
        <w:rPr>
          <w:rFonts w:ascii="宋体" w:hAnsi="宋体"/>
          <w:szCs w:val="21"/>
          <w:lang w:val="zh-CN"/>
        </w:rPr>
        <w:t xml:space="preserve">月</w:t>
      </w:r>
      <w:r>
        <w:rPr>
          <w:rFonts w:ascii="宋体" w:hAnsi="宋体"/>
          <w:szCs w:val="21"/>
        </w:rPr>
        <w:t xml:space="preserve">     </w:t>
      </w:r>
      <w:r>
        <w:rPr>
          <w:rFonts w:ascii="宋体" w:hAnsi="宋体"/>
          <w:szCs w:val="21"/>
          <w:lang w:val="zh-CN"/>
        </w:rPr>
        <w:t xml:space="preserve">日</w:t>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rPr>
          <w:rFonts w:hint="eastAsia" w:ascii="宋体" w:hAnsi="宋体"/>
          <w:b/>
          <w:szCs w:val="21"/>
        </w:rPr>
      </w:pPr>
      <w:r>
        <w:rPr>
          <w:rFonts w:hint="eastAsia" w:ascii="宋体" w:hAnsi="宋体"/>
          <w:b/>
          <w:szCs w:val="21"/>
        </w:rPr>
        <w:t xml:space="preserve">格式</w:t>
      </w:r>
      <w:r>
        <w:rPr>
          <w:rFonts w:hint="eastAsia" w:ascii="宋体" w:hAnsi="宋体"/>
          <w:b/>
          <w:szCs w:val="21"/>
        </w:rPr>
        <w:t xml:space="preserve">8</w:t>
      </w:r>
      <w:r>
        <w:rPr>
          <w:rFonts w:hint="eastAsia" w:ascii="宋体" w:hAnsi="宋体"/>
          <w:b/>
          <w:szCs w:val="21"/>
        </w:rPr>
        <w:t xml:space="preserve">：相关业绩一览表</w:t>
      </w:r>
      <w:r/>
    </w:p>
    <w:p>
      <w:pPr>
        <w:ind w:left="-42" w:right="357"/>
        <w:spacing w:line="400" w:lineRule="exact"/>
        <w:rPr>
          <w:rFonts w:hint="eastAsia" w:ascii="宋体" w:hAnsi="宋体"/>
          <w:b/>
          <w:szCs w:val="21"/>
        </w:rPr>
      </w:pPr>
      <w:r>
        <w:rPr>
          <w:rFonts w:hint="eastAsia" w:ascii="宋体" w:hAnsi="宋体"/>
          <w:b/>
          <w:szCs w:val="21"/>
        </w:rPr>
      </w:r>
      <w:r/>
    </w:p>
    <w:p>
      <w:pPr>
        <w:pStyle w:val="751"/>
        <w:ind w:firstLine="422"/>
        <w:jc w:val="center"/>
        <w:spacing w:line="400" w:lineRule="exact"/>
        <w:rPr>
          <w:rFonts w:hint="eastAsia" w:hAnsi="宋体" w:eastAsia="宋体"/>
          <w:b/>
          <w:sz w:val="21"/>
          <w:szCs w:val="21"/>
        </w:rPr>
      </w:pPr>
      <w:r>
        <w:rPr>
          <w:rFonts w:hint="eastAsia" w:hAnsi="宋体" w:eastAsia="宋体"/>
          <w:b/>
          <w:sz w:val="21"/>
          <w:szCs w:val="21"/>
        </w:rPr>
        <w:t xml:space="preserve">相关业绩一览表</w:t>
      </w:r>
      <w:r/>
    </w:p>
    <w:p>
      <w:pPr>
        <w:spacing w:line="360" w:lineRule="auto"/>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采购编号：</w:t>
      </w:r>
      <w:r>
        <w:rPr>
          <w:rFonts w:ascii="宋体" w:hAnsi="宋体"/>
          <w:szCs w:val="21"/>
        </w:rPr>
        <w:t xml:space="preserve">_________________________</w:t>
      </w:r>
      <w:r/>
    </w:p>
    <w:tbl>
      <w:tblPr>
        <w:tblW w:w="8497"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15"/>
        <w:gridCol w:w="1479"/>
        <w:gridCol w:w="1479"/>
        <w:gridCol w:w="1222"/>
        <w:gridCol w:w="1134"/>
        <w:gridCol w:w="1276"/>
        <w:gridCol w:w="992"/>
      </w:tblGrid>
      <w:tr>
        <w:trPr>
          <w:cantSplit/>
          <w:trHeight w:val="551"/>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序号</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合同期</w:t>
            </w:r>
            <w:r/>
          </w:p>
        </w:tc>
        <w:tc>
          <w:tcPr>
            <w:tcBorders>
              <w:top w:val="single" w:color="000000" w:sz="6" w:space="0"/>
              <w:left w:val="single" w:color="000000" w:sz="6" w:space="0"/>
              <w:bottom w:val="single" w:color="000000" w:sz="6" w:space="0"/>
              <w:right w:val="single" w:color="000000" w:sz="4" w:space="0"/>
            </w:tcBorders>
            <w:tcW w:w="12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服务范围</w:t>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养护面积</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合同金额</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4" w:space="0"/>
            </w:tcBorders>
            <w:tcW w:w="122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4" w:space="0"/>
            </w:tcBorders>
            <w:tcW w:w="122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4" w:space="0"/>
            </w:tcBorders>
            <w:tcW w:w="122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4" w:space="0"/>
            </w:tcBorders>
            <w:tcW w:w="122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4" w:space="0"/>
            </w:tcBorders>
            <w:tcW w:w="122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tbRlV"/>
            <w:noWrap w:val="false"/>
          </w:tcPr>
          <w:p>
            <w:pPr>
              <w:ind w:left="113" w:right="113"/>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4" w:space="0"/>
            </w:tcBorders>
            <w:tcW w:w="1222"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4" w:space="0"/>
            </w:tcBorders>
            <w:tcW w:w="12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4" w:space="0"/>
            </w:tcBorders>
            <w:tcW w:w="12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firstLine="210"/>
        <w:spacing w:line="360" w:lineRule="auto"/>
        <w:rPr>
          <w:rFonts w:hint="eastAsia" w:ascii="宋体" w:hAnsi="宋体"/>
          <w:szCs w:val="21"/>
        </w:rPr>
      </w:pPr>
      <w:r>
        <w:rPr>
          <w:rFonts w:hint="eastAsia" w:ascii="宋体" w:hAnsi="宋体"/>
          <w:szCs w:val="21"/>
        </w:rPr>
      </w:r>
      <w:r/>
    </w:p>
    <w:p>
      <w:pPr>
        <w:ind w:firstLine="210"/>
        <w:spacing w:line="360" w:lineRule="auto"/>
        <w:rPr>
          <w:rFonts w:hint="eastAsia" w:ascii="宋体" w:hAnsi="宋体"/>
          <w:szCs w:val="21"/>
        </w:rPr>
      </w:pPr>
      <w:r>
        <w:rPr>
          <w:rFonts w:hint="eastAsia" w:ascii="宋体" w:hAnsi="宋体" w:cs="宋体"/>
          <w:szCs w:val="21"/>
          <w:lang w:val="zh-CN"/>
        </w:rPr>
        <w:t xml:space="preserve">投标人（公章）：</w:t>
      </w:r>
      <w:r/>
    </w:p>
    <w:p>
      <w:pPr>
        <w:ind w:firstLine="210"/>
        <w:spacing w:line="360" w:lineRule="auto"/>
        <w:rPr>
          <w:rFonts w:hint="eastAsia"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hint="eastAsia" w:ascii="宋体" w:hAnsi="宋体"/>
          <w:szCs w:val="21"/>
        </w:rPr>
      </w:pPr>
      <w:r>
        <w:rPr>
          <w:rFonts w:hint="eastAsia" w:ascii="宋体" w:hAnsi="宋体" w:cs="宋体"/>
          <w:szCs w:val="21"/>
          <w:lang w:val="zh-CN"/>
        </w:rPr>
        <w:t xml:space="preserve">日期：</w:t>
      </w:r>
      <w:r>
        <w:rPr>
          <w:rFonts w:ascii="宋体" w:hAnsi="宋体"/>
          <w:szCs w:val="21"/>
        </w:rPr>
        <w:t xml:space="preserve">      </w:t>
      </w:r>
      <w:r>
        <w:rPr>
          <w:rFonts w:hint="eastAsia" w:ascii="宋体" w:hAnsi="宋体" w:cs="宋体"/>
          <w:szCs w:val="21"/>
          <w:lang w:val="zh-CN"/>
        </w:rPr>
        <w:t xml:space="preserve">年</w:t>
      </w:r>
      <w:r>
        <w:rPr>
          <w:rFonts w:ascii="宋体" w:hAnsi="宋体"/>
          <w:szCs w:val="21"/>
        </w:rPr>
        <w:t xml:space="preserve">     </w:t>
      </w:r>
      <w:r>
        <w:rPr>
          <w:rFonts w:hint="eastAsia" w:ascii="宋体" w:hAnsi="宋体" w:cs="宋体"/>
          <w:szCs w:val="21"/>
          <w:lang w:val="zh-CN"/>
        </w:rPr>
        <w:t xml:space="preserve">月</w:t>
      </w:r>
      <w:r>
        <w:rPr>
          <w:rFonts w:ascii="宋体" w:hAnsi="宋体"/>
          <w:szCs w:val="21"/>
        </w:rPr>
        <w:t xml:space="preserve">     </w:t>
      </w:r>
      <w:r>
        <w:rPr>
          <w:rFonts w:hint="eastAsia" w:ascii="宋体" w:hAnsi="宋体" w:cs="宋体"/>
          <w:szCs w:val="21"/>
          <w:lang w:val="zh-CN"/>
        </w:rPr>
        <w:t xml:space="preserve">日</w:t>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right="840"/>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ind w:firstLine="240"/>
        <w:spacing w:line="360" w:lineRule="auto"/>
        <w:rPr>
          <w:rFonts w:hint="eastAsia" w:ascii="宋体" w:hAnsi="宋体" w:cs="宋体"/>
          <w:bCs/>
          <w:sz w:val="24"/>
        </w:rPr>
      </w:pPr>
      <w:r>
        <w:rPr>
          <w:rFonts w:hint="eastAsia" w:ascii="宋体" w:hAnsi="宋体" w:cs="宋体"/>
          <w:bCs/>
          <w:color w:val="000000"/>
          <w:sz w:val="24"/>
        </w:rPr>
        <w:t xml:space="preserve">格式</w:t>
      </w:r>
      <w:r>
        <w:rPr>
          <w:rFonts w:hint="eastAsia" w:ascii="宋体" w:hAnsi="宋体" w:cs="宋体"/>
          <w:bCs/>
          <w:color w:val="000000"/>
          <w:sz w:val="24"/>
        </w:rPr>
        <w:t xml:space="preserve">9</w:t>
      </w:r>
      <w:r>
        <w:rPr>
          <w:rFonts w:hint="eastAsia" w:ascii="宋体" w:hAnsi="宋体" w:cs="宋体"/>
          <w:bCs/>
          <w:color w:val="000000"/>
          <w:sz w:val="24"/>
        </w:rPr>
        <w:t xml:space="preserve">、</w:t>
      </w:r>
      <w:r>
        <w:rPr>
          <w:rFonts w:hint="eastAsia" w:ascii="宋体" w:hAnsi="宋体" w:cs="宋体"/>
          <w:bCs/>
          <w:color w:val="000000"/>
          <w:sz w:val="24"/>
        </w:rPr>
        <w:t xml:space="preserve">维护</w:t>
      </w:r>
      <w:r>
        <w:rPr>
          <w:rFonts w:hint="eastAsia" w:ascii="宋体" w:hAnsi="宋体"/>
          <w:bCs/>
          <w:sz w:val="24"/>
        </w:rPr>
        <w:t xml:space="preserve">实施</w:t>
      </w:r>
      <w:r>
        <w:rPr>
          <w:rFonts w:hint="eastAsia" w:ascii="宋体" w:hAnsi="宋体"/>
          <w:bCs/>
          <w:sz w:val="24"/>
        </w:rPr>
        <w:t xml:space="preserve">方案</w:t>
      </w:r>
      <w:r/>
    </w:p>
    <w:p>
      <w:pPr>
        <w:pStyle w:val="1032"/>
        <w:jc w:val="left"/>
        <w:spacing w:after="0" w:line="360" w:lineRule="auto"/>
        <w:tabs>
          <w:tab w:val="left" w:pos="1320" w:leader="none"/>
        </w:tabs>
        <w:rPr>
          <w:rFonts w:hint="eastAsia" w:ascii="宋体" w:hAnsi="宋体" w:eastAsia="宋体" w:cs="宋体"/>
          <w:bCs/>
          <w:color w:val="auto"/>
          <w:sz w:val="24"/>
          <w:szCs w:val="24"/>
        </w:rPr>
        <w:framePr w:wrap="auto" w:yAlign="inline"/>
      </w:pPr>
      <w:r>
        <w:rPr>
          <w:rFonts w:hint="eastAsia" w:ascii="宋体" w:hAnsi="宋体" w:eastAsia="宋体" w:cs="宋体"/>
          <w:bCs/>
          <w:color w:val="auto"/>
          <w:sz w:val="24"/>
          <w:szCs w:val="24"/>
          <w:lang w:val="zh-TW" w:eastAsia="zh-TW"/>
        </w:rPr>
        <w:t xml:space="preserve">提示：</w:t>
      </w:r>
      <w:r/>
    </w:p>
    <w:p>
      <w:pPr>
        <w:pStyle w:val="739"/>
        <w:ind w:firstLine="0"/>
        <w:spacing w:line="360" w:lineRule="auto"/>
        <w:rPr>
          <w:rFonts w:hint="eastAsia" w:ascii="宋体" w:hAnsi="宋体" w:eastAsia="宋体" w:cs="宋体"/>
          <w:bCs/>
          <w:szCs w:val="24"/>
        </w:rPr>
      </w:pPr>
      <w:r>
        <w:rPr>
          <w:rFonts w:hint="eastAsia" w:ascii="宋体" w:hAnsi="宋体" w:eastAsia="宋体" w:cs="宋体"/>
          <w:bCs/>
          <w:szCs w:val="24"/>
        </w:rPr>
        <w:t xml:space="preserve">1</w:t>
      </w:r>
      <w:r>
        <w:rPr>
          <w:rFonts w:hint="eastAsia" w:ascii="宋体" w:hAnsi="宋体" w:eastAsia="宋体" w:cs="宋体"/>
          <w:bCs/>
          <w:szCs w:val="24"/>
          <w:lang w:val="zh-TW" w:eastAsia="zh-TW"/>
        </w:rPr>
        <w:t xml:space="preserve">、投标人可根据自身情况编写，本页不够可另加页附后。</w:t>
      </w:r>
      <w:r/>
    </w:p>
    <w:p>
      <w:pPr>
        <w:pStyle w:val="949"/>
        <w:ind w:firstLine="480"/>
        <w:spacing w:line="360" w:lineRule="auto"/>
        <w:rPr>
          <w:rFonts w:hint="eastAsia" w:ascii="宋体" w:hAnsi="宋体" w:eastAsia="宋体" w:cs="宋体"/>
          <w:bCs/>
        </w:rPr>
      </w:pPr>
      <w:r>
        <w:rPr>
          <w:rFonts w:hint="eastAsia" w:ascii="宋体" w:hAnsi="宋体" w:eastAsia="宋体" w:cs="宋体"/>
          <w:bCs/>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pStyle w:val="739"/>
        <w:ind w:firstLine="0"/>
        <w:spacing w:line="360" w:lineRule="auto"/>
        <w:rPr>
          <w:rFonts w:hint="eastAsia" w:ascii="宋体" w:hAnsi="宋体" w:eastAsia="宋体" w:cs="宋体"/>
          <w:bCs/>
          <w:szCs w:val="24"/>
          <w:lang w:val="zh-CN"/>
        </w:rPr>
      </w:pPr>
      <w:r>
        <w:rPr>
          <w:rFonts w:hint="eastAsia" w:ascii="宋体" w:hAnsi="宋体" w:eastAsia="宋体" w:cs="宋体"/>
          <w:bCs/>
          <w:szCs w:val="24"/>
          <w:lang w:val="zh-CN"/>
        </w:rPr>
      </w:r>
      <w:r/>
    </w:p>
    <w:p>
      <w:pPr>
        <w:rPr>
          <w:lang w:val="zh-CN"/>
        </w:rPr>
      </w:pPr>
      <w:r>
        <w:rPr>
          <w:lang w:val="zh-CN"/>
        </w:rPr>
      </w:r>
      <w:r/>
    </w:p>
    <w:p>
      <w:pPr>
        <w:rPr>
          <w:lang w:val="zh-CN"/>
        </w:rPr>
      </w:pPr>
      <w:r>
        <w:rPr>
          <w:lang w:val="zh-CN"/>
        </w:rPr>
      </w:r>
      <w:r/>
    </w:p>
    <w:p>
      <w:pPr>
        <w:rPr>
          <w:lang w:val="zh-CN"/>
        </w:rPr>
      </w:pPr>
      <w:r>
        <w:rPr>
          <w:lang w:val="zh-CN"/>
        </w:rPr>
      </w:r>
      <w:r/>
    </w:p>
    <w:p>
      <w:pPr>
        <w:spacing w:line="360" w:lineRule="auto"/>
        <w:tabs>
          <w:tab w:val="left" w:pos="1320" w:leader="none"/>
        </w:tabs>
        <w:rPr>
          <w:rFonts w:hint="eastAsia" w:ascii="宋体" w:hAnsi="宋体"/>
          <w:b/>
          <w:bCs/>
        </w:rPr>
      </w:pPr>
      <w:r>
        <w:rPr>
          <w:rFonts w:hint="eastAsia" w:ascii="宋体" w:hAnsi="宋体"/>
          <w:b/>
          <w:bCs/>
          <w:szCs w:val="21"/>
          <w:highlight w:val="none"/>
        </w:rPr>
      </w:r>
      <w:r>
        <w:rPr>
          <w:rFonts w:hint="eastAsia" w:ascii="宋体" w:hAnsi="宋体"/>
          <w:b/>
          <w:bCs/>
          <w:szCs w:val="21"/>
          <w:highlight w:val="none"/>
        </w:rPr>
      </w:r>
    </w:p>
    <w:p>
      <w:pPr>
        <w:spacing w:line="360" w:lineRule="auto"/>
        <w:tabs>
          <w:tab w:val="left" w:pos="1320" w:leader="none"/>
        </w:tabs>
        <w:rPr>
          <w:rFonts w:hint="eastAsia" w:ascii="宋体" w:hAnsi="宋体"/>
          <w:b/>
          <w:bCs/>
          <w:highlight w:val="none"/>
        </w:rPr>
      </w:pPr>
      <w:r>
        <w:rPr>
          <w:rFonts w:hint="eastAsia" w:ascii="宋体" w:hAnsi="宋体"/>
          <w:b/>
          <w:bCs/>
          <w:szCs w:val="21"/>
        </w:rPr>
        <w:t xml:space="preserve">格式</w:t>
      </w:r>
      <w:r>
        <w:rPr>
          <w:rFonts w:ascii="宋体" w:hAnsi="宋体"/>
          <w:b/>
          <w:bCs/>
          <w:szCs w:val="21"/>
        </w:rPr>
        <w:t xml:space="preserve">1</w:t>
      </w:r>
      <w:r>
        <w:rPr>
          <w:rFonts w:hint="eastAsia" w:ascii="宋体" w:hAnsi="宋体"/>
          <w:b/>
          <w:bCs/>
          <w:szCs w:val="21"/>
        </w:rPr>
        <w:t xml:space="preserve">0</w:t>
      </w:r>
      <w:r>
        <w:rPr>
          <w:rFonts w:hint="eastAsia" w:ascii="宋体" w:hAnsi="宋体"/>
          <w:b/>
          <w:bCs/>
          <w:szCs w:val="21"/>
        </w:rPr>
        <w:t xml:space="preserve">：工作管理标准、考核方案</w:t>
      </w:r>
      <w:r/>
    </w:p>
    <w:p>
      <w:pPr>
        <w:spacing w:line="360" w:lineRule="auto"/>
        <w:tabs>
          <w:tab w:val="left" w:pos="1320" w:leader="none"/>
        </w:tabs>
        <w:rPr>
          <w:rFonts w:hint="eastAsia" w:ascii="宋体" w:hAnsi="宋体"/>
          <w:b/>
          <w:bCs/>
          <w:szCs w:val="21"/>
        </w:rPr>
      </w:pPr>
      <w:r>
        <w:rPr>
          <w:rFonts w:hint="eastAsia" w:ascii="宋体" w:hAnsi="宋体"/>
          <w:b/>
          <w:bCs/>
          <w:szCs w:val="21"/>
        </w:rPr>
      </w:r>
      <w:r/>
    </w:p>
    <w:p>
      <w:pPr>
        <w:pStyle w:val="751"/>
        <w:ind w:firstLine="422"/>
        <w:jc w:val="center"/>
        <w:spacing w:line="400" w:lineRule="exact"/>
        <w:rPr>
          <w:rFonts w:hint="eastAsia" w:hAnsi="宋体" w:eastAsia="宋体"/>
          <w:b/>
          <w:sz w:val="21"/>
          <w:szCs w:val="21"/>
        </w:rPr>
      </w:pPr>
      <w:r>
        <w:rPr>
          <w:rFonts w:hint="eastAsia" w:hAnsi="宋体" w:eastAsia="宋体"/>
          <w:b/>
          <w:sz w:val="21"/>
          <w:szCs w:val="21"/>
        </w:rPr>
        <w:t xml:space="preserve">管理标准、考核方案</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9"/>
      </w:tblGrid>
      <w:tr>
        <w:trPr>
          <w:trHeight w:val="1422"/>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rFonts w:hint="eastAsia" w:ascii="宋体" w:hAnsi="宋体"/>
                <w:szCs w:val="21"/>
              </w:rPr>
            </w:pPr>
            <w:r>
              <w:rPr>
                <w:rFonts w:hint="eastAsia" w:ascii="宋体" w:hAnsi="宋体"/>
                <w:szCs w:val="21"/>
              </w:rPr>
              <w:t xml:space="preserve">提示：</w:t>
            </w:r>
            <w:r/>
          </w:p>
          <w:p>
            <w:pPr>
              <w:spacing w:line="360" w:lineRule="auto"/>
              <w:tabs>
                <w:tab w:val="left" w:pos="1320" w:leader="none"/>
              </w:tabs>
              <w:rPr>
                <w:rFonts w:hint="eastAsia" w:ascii="宋体" w:hAnsi="宋体"/>
                <w:szCs w:val="21"/>
              </w:rPr>
            </w:pPr>
            <w:r>
              <w:rPr>
                <w:rFonts w:ascii="宋体" w:hAnsi="宋体"/>
                <w:szCs w:val="21"/>
              </w:rPr>
              <w:t xml:space="preserve">1</w:t>
            </w:r>
            <w:r>
              <w:rPr>
                <w:rFonts w:hint="eastAsia" w:ascii="宋体" w:hAnsi="宋体"/>
                <w:szCs w:val="21"/>
              </w:rPr>
              <w:t xml:space="preserve">、投标人应针对本次招标项目特点编写公司中标后拟采取的管理标准、考核方案。</w:t>
            </w:r>
            <w:r/>
          </w:p>
          <w:p>
            <w:pPr>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、投标人可根据自身情况编写，本页不够可另加页附后。</w:t>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spacing w:line="360" w:lineRule="auto"/>
              <w:tabs>
                <w:tab w:val="left" w:pos="1320" w:leader="none"/>
              </w:tabs>
              <w:rPr>
                <w:rFonts w:hint="eastAsia" w:ascii="宋体" w:hAnsi="宋体"/>
                <w:szCs w:val="21"/>
              </w:rPr>
            </w:pPr>
            <w:r>
              <w:rPr>
                <w:rFonts w:hint="eastAsia" w:ascii="宋体" w:hAnsi="宋体"/>
                <w:szCs w:val="21"/>
              </w:rPr>
            </w:r>
            <w:r/>
          </w:p>
          <w:p>
            <w:pPr>
              <w:ind w:firstLine="210"/>
              <w:spacing w:line="360" w:lineRule="auto"/>
              <w:tabs>
                <w:tab w:val="left" w:pos="1320" w:leader="none"/>
              </w:tabs>
              <w:rPr>
                <w:rFonts w:hint="eastAsia" w:ascii="宋体" w:hAnsi="宋体"/>
                <w:szCs w:val="21"/>
              </w:rPr>
            </w:pPr>
            <w:r>
              <w:rPr>
                <w:rFonts w:ascii="宋体" w:hAnsi="宋体"/>
                <w:szCs w:val="21"/>
              </w:rPr>
              <w:t xml:space="preserve">                                      </w:t>
            </w:r>
            <w:r>
              <w:rPr>
                <w:rFonts w:hint="eastAsia" w:ascii="宋体" w:hAnsi="宋体"/>
                <w:szCs w:val="21"/>
              </w:rPr>
              <w:t xml:space="preserve">投标人名称（公章）：</w:t>
            </w:r>
            <w:r>
              <w:rPr>
                <w:rFonts w:ascii="宋体" w:hAnsi="宋体"/>
                <w:szCs w:val="21"/>
                <w:u w:val="single"/>
              </w:rPr>
              <w:t xml:space="preserve">                            </w:t>
            </w:r>
            <w:r/>
          </w:p>
        </w:tc>
      </w:tr>
    </w:tbl>
    <w:p>
      <w:pPr>
        <w:jc w:val="center"/>
        <w:spacing w:before="50" w:line="400" w:lineRule="exact"/>
        <w:rPr>
          <w:rFonts w:hint="eastAsia" w:ascii="宋体" w:hAnsi="宋体"/>
          <w:b/>
          <w:szCs w:val="21"/>
        </w:rPr>
      </w:pPr>
      <w:r>
        <w:rPr>
          <w:rFonts w:hint="eastAsia" w:ascii="宋体" w:hAnsi="宋体"/>
          <w:b/>
          <w:szCs w:val="21"/>
        </w:rPr>
      </w:r>
      <w:r/>
    </w:p>
    <w:p>
      <w:pPr>
        <w:rPr>
          <w:rFonts w:hint="eastAsia" w:ascii="宋体" w:hAnsi="宋体"/>
          <w:szCs w:val="21"/>
        </w:rPr>
      </w:pPr>
      <w:r>
        <w:rPr>
          <w:rFonts w:ascii="宋体" w:hAnsi="宋体"/>
          <w:szCs w:val="21"/>
        </w:rPr>
        <w:t xml:space="preserve"> </w:t>
      </w:r>
      <w:r/>
    </w:p>
    <w:p>
      <w:pPr>
        <w:rPr>
          <w:lang w:val="zh-CN"/>
        </w:rPr>
      </w:pPr>
      <w:r>
        <w:rPr>
          <w:lang w:val="zh-CN"/>
        </w:rPr>
      </w:r>
      <w:r/>
    </w:p>
    <w:p>
      <w:pPr>
        <w:spacing w:line="360" w:lineRule="auto"/>
        <w:rPr>
          <w:rFonts w:hint="eastAsia" w:hAnsi="宋体" w:cs="宋体"/>
          <w:bCs/>
          <w:color w:val="000000"/>
          <w:sz w:val="24"/>
          <w:lang w:val="zh-CN"/>
        </w:rPr>
      </w:pPr>
      <w:r>
        <w:rPr>
          <w:rFonts w:hint="eastAsia" w:ascii="宋体" w:hAnsi="宋体" w:cs="宋体"/>
          <w:bCs/>
          <w:color w:val="000000"/>
          <w:sz w:val="24"/>
        </w:rPr>
        <w:br w:type="page" w:clear="all"/>
      </w:r>
      <w:r/>
    </w:p>
    <w:p>
      <w:pPr>
        <w:pStyle w:val="883"/>
        <w:spacing w:line="360" w:lineRule="auto"/>
        <w:rPr>
          <w:rFonts w:hint="eastAsia" w:hAnsi="宋体" w:eastAsia="宋体" w:cs="宋体"/>
          <w:bCs/>
          <w:color w:val="000000"/>
          <w:sz w:val="24"/>
          <w:szCs w:val="24"/>
        </w:rPr>
      </w:pPr>
      <w:r>
        <w:rPr>
          <w:rFonts w:hint="eastAsia" w:hAnsi="宋体" w:eastAsia="宋体" w:cs="宋体"/>
          <w:bCs/>
          <w:color w:val="000000"/>
          <w:sz w:val="24"/>
          <w:szCs w:val="24"/>
          <w:lang w:val="zh-CN"/>
        </w:rPr>
        <w:t xml:space="preserve">格式</w:t>
      </w:r>
      <w:r>
        <w:rPr>
          <w:rFonts w:hint="eastAsia" w:hAnsi="宋体" w:eastAsia="宋体" w:cs="宋体"/>
          <w:bCs/>
          <w:color w:val="000000"/>
          <w:sz w:val="24"/>
          <w:szCs w:val="24"/>
          <w:lang w:val="zh-CN"/>
        </w:rPr>
        <w:t xml:space="preserve">1</w:t>
      </w:r>
      <w:r>
        <w:rPr>
          <w:rFonts w:hint="eastAsia" w:hAnsi="宋体" w:eastAsia="宋体" w:cs="宋体"/>
          <w:bCs/>
          <w:color w:val="000000"/>
          <w:sz w:val="24"/>
          <w:szCs w:val="24"/>
          <w:lang w:val="zh-CN"/>
        </w:rPr>
        <w:t xml:space="preserve">1</w:t>
      </w:r>
      <w:r>
        <w:rPr>
          <w:rFonts w:hint="eastAsia" w:hAnsi="宋体" w:eastAsia="宋体" w:cs="宋体"/>
          <w:bCs/>
          <w:color w:val="000000"/>
          <w:sz w:val="24"/>
          <w:szCs w:val="24"/>
          <w:lang w:val="zh-CN"/>
        </w:rPr>
        <w:t xml:space="preserve">、资格证明文件</w:t>
      </w:r>
      <w:r/>
    </w:p>
    <w:p>
      <w:pPr>
        <w:spacing w:line="360" w:lineRule="auto"/>
        <w:rPr>
          <w:rFonts w:hint="eastAsia" w:ascii="宋体" w:hAnsi="宋体" w:cs="宋体"/>
          <w:bCs/>
          <w:color w:val="000000"/>
          <w:sz w:val="24"/>
        </w:rPr>
      </w:pPr>
      <w:r>
        <w:rPr>
          <w:rFonts w:hint="eastAsia" w:ascii="宋体" w:hAnsi="宋体" w:cs="宋体"/>
          <w:bCs/>
          <w:color w:val="000000"/>
          <w:sz w:val="24"/>
          <w:lang w:val="zh-CN"/>
        </w:rPr>
        <w:t xml:space="preserve"> (1)、关于资格文件的声明函</w:t>
      </w:r>
      <w:r/>
    </w:p>
    <w:p>
      <w:pPr>
        <w:ind w:firstLine="425"/>
        <w:jc w:val="center"/>
        <w:spacing w:line="360" w:lineRule="auto"/>
        <w:rPr>
          <w:rFonts w:hint="eastAsia" w:ascii="宋体" w:hAnsi="宋体" w:cs="宋体"/>
          <w:bCs/>
          <w:color w:val="000000"/>
          <w:sz w:val="24"/>
        </w:rPr>
      </w:pPr>
      <w:r>
        <w:rPr>
          <w:rFonts w:hint="eastAsia" w:ascii="宋体" w:hAnsi="宋体" w:cs="宋体"/>
          <w:bCs/>
          <w:color w:val="000000"/>
          <w:sz w:val="24"/>
          <w:lang w:val="zh-CN"/>
        </w:rPr>
        <w:t xml:space="preserve">关于资格文件的声明函</w:t>
      </w:r>
      <w:r/>
    </w:p>
    <w:p>
      <w:pPr>
        <w:ind w:firstLine="425"/>
        <w:jc w:val="cente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lang w:val="zh-CN"/>
        </w:rPr>
        <w:t xml:space="preserve"> </w:t>
      </w:r>
      <w:r>
        <w:rPr>
          <w:rFonts w:hint="eastAsia" w:ascii="宋体" w:hAnsi="宋体" w:cs="宋体"/>
          <w:bCs/>
          <w:color w:val="000000"/>
          <w:sz w:val="24"/>
          <w:u w:val="single"/>
          <w:lang w:val="zh-CN"/>
        </w:rPr>
        <w:t xml:space="preserve">                                   </w:t>
      </w:r>
      <w:r>
        <w:rPr>
          <w:rFonts w:hint="eastAsia" w:ascii="宋体" w:hAnsi="宋体" w:cs="宋体"/>
          <w:bCs/>
          <w:color w:val="000000"/>
          <w:sz w:val="24"/>
          <w:lang w:val="zh-CN"/>
        </w:rPr>
        <w:t xml:space="preserve"> ：</w:t>
      </w:r>
      <w:r/>
    </w:p>
    <w:p>
      <w:pPr>
        <w:ind w:firstLine="660"/>
        <w:spacing w:line="360" w:lineRule="auto"/>
        <w:rPr>
          <w:rFonts w:hint="eastAsia" w:ascii="宋体" w:hAnsi="宋体" w:cs="宋体"/>
          <w:bCs/>
          <w:color w:val="000000"/>
          <w:sz w:val="24"/>
        </w:rPr>
      </w:pPr>
      <w:r>
        <w:rPr>
          <w:rFonts w:hint="eastAsia" w:ascii="宋体" w:hAnsi="宋体" w:cs="宋体"/>
          <w:bCs/>
          <w:color w:val="000000"/>
          <w:sz w:val="24"/>
          <w:lang w:val="zh-CN"/>
        </w:rPr>
        <w:t xml:space="preserve">本公司愿就由贵公司组织实施的编号为 </w:t>
      </w:r>
      <w:r>
        <w:rPr>
          <w:rFonts w:hint="eastAsia" w:ascii="宋体" w:hAnsi="宋体" w:cs="宋体"/>
          <w:bCs/>
          <w:color w:val="000000"/>
          <w:sz w:val="24"/>
          <w:u w:val="single"/>
          <w:lang w:val="zh-CN"/>
        </w:rPr>
        <w:t xml:space="preserve">             </w:t>
      </w:r>
      <w:r>
        <w:rPr>
          <w:rFonts w:hint="eastAsia" w:ascii="宋体" w:hAnsi="宋体" w:cs="宋体"/>
          <w:bCs/>
          <w:color w:val="000000"/>
          <w:sz w:val="24"/>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bCs/>
          <w:color w:val="000000"/>
          <w:sz w:val="24"/>
        </w:rPr>
      </w:pPr>
      <w:r>
        <w:rPr>
          <w:rFonts w:hint="eastAsia" w:ascii="宋体" w:hAnsi="宋体" w:cs="宋体"/>
          <w:bCs/>
          <w:color w:val="000000"/>
          <w:sz w:val="24"/>
        </w:rPr>
      </w:r>
      <w:r/>
    </w:p>
    <w:p>
      <w:pPr>
        <w:ind w:firstLine="425"/>
        <w:spacing w:line="360" w:lineRule="auto"/>
        <w:rPr>
          <w:rFonts w:hint="eastAsia" w:ascii="宋体" w:hAnsi="宋体" w:cs="宋体"/>
          <w:bCs/>
          <w:color w:val="000000"/>
          <w:sz w:val="24"/>
        </w:rPr>
      </w:pPr>
      <w:r>
        <w:rPr>
          <w:rFonts w:hint="eastAsia" w:ascii="宋体" w:hAnsi="宋体" w:cs="宋体"/>
          <w:bCs/>
          <w:color w:val="000000"/>
          <w:sz w:val="24"/>
        </w:rPr>
      </w:r>
      <w:r/>
    </w:p>
    <w:p>
      <w:pPr>
        <w:ind w:firstLine="425"/>
        <w:spacing w:line="360" w:lineRule="auto"/>
        <w:rPr>
          <w:rFonts w:hint="eastAsia" w:ascii="宋体" w:hAnsi="宋体" w:cs="宋体"/>
          <w:bCs/>
          <w:color w:val="000000"/>
          <w:sz w:val="24"/>
        </w:rPr>
      </w:pPr>
      <w:r>
        <w:rPr>
          <w:rFonts w:hint="eastAsia" w:ascii="宋体" w:hAnsi="宋体" w:cs="宋体"/>
          <w:bCs/>
          <w:color w:val="000000"/>
          <w:sz w:val="24"/>
        </w:rPr>
      </w:r>
      <w:r/>
    </w:p>
    <w:p>
      <w:pPr>
        <w:pStyle w:val="883"/>
        <w:spacing w:line="360" w:lineRule="auto"/>
        <w:rPr>
          <w:rFonts w:hint="eastAsia" w:hAnsi="宋体" w:eastAsia="宋体" w:cs="宋体"/>
          <w:bCs/>
          <w:color w:val="000000"/>
          <w:sz w:val="24"/>
          <w:szCs w:val="24"/>
        </w:rPr>
      </w:pPr>
      <w:r>
        <w:rPr>
          <w:rFonts w:hint="eastAsia" w:hAnsi="宋体" w:eastAsia="宋体" w:cs="宋体"/>
          <w:bCs/>
          <w:color w:val="000000"/>
          <w:sz w:val="24"/>
          <w:szCs w:val="24"/>
          <w:lang w:val="zh-CN"/>
        </w:rPr>
        <w:t xml:space="preserve">  </w:t>
      </w:r>
      <w:r>
        <w:rPr>
          <w:rFonts w:hint="eastAsia" w:hAnsi="宋体" w:eastAsia="宋体" w:cs="宋体"/>
          <w:bCs/>
          <w:color w:val="000000"/>
          <w:sz w:val="24"/>
          <w:szCs w:val="24"/>
          <w:lang w:val="zh-CN"/>
        </w:rPr>
        <w:tab/>
      </w:r>
      <w:r>
        <w:rPr>
          <w:rFonts w:hint="eastAsia" w:hAnsi="宋体" w:eastAsia="宋体" w:cs="宋体"/>
          <w:bCs/>
          <w:color w:val="000000"/>
          <w:sz w:val="24"/>
          <w:szCs w:val="24"/>
          <w:lang w:val="zh-CN"/>
        </w:rPr>
        <w:tab/>
      </w:r>
      <w:r>
        <w:rPr>
          <w:rFonts w:hint="eastAsia" w:hAnsi="宋体" w:eastAsia="宋体" w:cs="宋体"/>
          <w:bCs/>
          <w:color w:val="000000"/>
          <w:sz w:val="24"/>
          <w:szCs w:val="24"/>
        </w:rPr>
        <w:t xml:space="preserve">投标人：（单位盖章）</w:t>
      </w:r>
      <w:r/>
    </w:p>
    <w:p>
      <w:pPr>
        <w:pStyle w:val="883"/>
        <w:ind w:firstLine="240"/>
        <w:spacing w:line="360" w:lineRule="auto"/>
        <w:rPr>
          <w:rFonts w:hint="eastAsia" w:hAnsi="宋体" w:eastAsia="宋体" w:cs="宋体"/>
          <w:bCs/>
          <w:color w:val="000000"/>
          <w:sz w:val="24"/>
          <w:szCs w:val="24"/>
        </w:rPr>
      </w:pPr>
      <w:r>
        <w:rPr>
          <w:rFonts w:hint="eastAsia" w:hAnsi="宋体" w:eastAsia="宋体" w:cs="宋体"/>
          <w:bCs/>
          <w:color w:val="000000"/>
          <w:sz w:val="24"/>
          <w:szCs w:val="24"/>
        </w:rPr>
        <w:t xml:space="preserve">法定代表人或被授权委托人：（签字或盖章）</w:t>
      </w:r>
      <w:r/>
    </w:p>
    <w:p>
      <w:pPr>
        <w:ind w:firstLine="240"/>
        <w:spacing w:line="360" w:lineRule="auto"/>
        <w:rPr>
          <w:rFonts w:hint="eastAsia" w:ascii="宋体" w:hAnsi="宋体" w:cs="宋体"/>
          <w:bCs/>
          <w:color w:val="000000"/>
          <w:sz w:val="24"/>
        </w:rPr>
      </w:pPr>
      <w:r>
        <w:rPr>
          <w:rFonts w:hint="eastAsia" w:ascii="宋体" w:hAnsi="宋体" w:cs="宋体"/>
          <w:bCs/>
          <w:color w:val="000000"/>
          <w:sz w:val="24"/>
        </w:rPr>
        <w:t xml:space="preserve">日期：         年         月       日</w:t>
      </w:r>
      <w:r/>
    </w:p>
    <w:p>
      <w:pPr>
        <w:ind w:firstLine="425"/>
        <w:spacing w:line="360" w:lineRule="auto"/>
        <w:rPr>
          <w:rFonts w:hint="eastAsia" w:ascii="宋体" w:hAnsi="宋体" w:cs="宋体"/>
          <w:bCs/>
          <w:color w:val="000000"/>
          <w:sz w:val="24"/>
          <w:lang w:val="zh-CN"/>
        </w:rPr>
      </w:pPr>
      <w:r>
        <w:rPr>
          <w:rFonts w:hint="eastAsia" w:ascii="宋体" w:hAnsi="宋体" w:cs="宋体"/>
          <w:bCs/>
          <w:color w:val="000000"/>
          <w:sz w:val="24"/>
          <w:lang w:val="zh-CN"/>
        </w:rPr>
        <w:br w:type="page" w:clear="all"/>
      </w:r>
      <w:r>
        <w:rPr>
          <w:rFonts w:hint="eastAsia" w:ascii="宋体" w:hAnsi="宋体" w:cs="宋体"/>
          <w:bCs/>
          <w:color w:val="000000"/>
          <w:sz w:val="24"/>
          <w:lang w:val="zh-CN"/>
        </w:rPr>
        <w:t xml:space="preserve">(</w:t>
      </w:r>
      <w:r>
        <w:rPr>
          <w:rFonts w:hint="eastAsia" w:ascii="宋体" w:hAnsi="宋体" w:cs="宋体"/>
          <w:bCs/>
          <w:color w:val="000000"/>
          <w:sz w:val="24"/>
        </w:rPr>
        <w:t xml:space="preserve">2)、投标单位情况表</w:t>
      </w:r>
      <w:r/>
    </w:p>
    <w:p>
      <w:pPr>
        <w:pStyle w:val="739"/>
        <w:ind w:firstLine="0"/>
        <w:jc w:val="center"/>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投标单位情况表</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单位名称（盖章）：                       </w:t>
      </w:r>
      <w:r/>
    </w:p>
    <w:tbl>
      <w:tblPr>
        <w:tblW w:w="92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10"/>
        <w:gridCol w:w="2005"/>
        <w:gridCol w:w="1461"/>
        <w:gridCol w:w="2246"/>
        <w:gridCol w:w="1046"/>
      </w:tblGrid>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lang w:val="zh-CN"/>
              </w:rPr>
              <w:t xml:space="preserve"> </w:t>
            </w:r>
            <w:r>
              <w:rPr>
                <w:rFonts w:hint="eastAsia" w:ascii="宋体" w:hAnsi="宋体" w:eastAsia="宋体" w:cs="宋体"/>
                <w:bCs/>
                <w:color w:val="000000"/>
                <w:szCs w:val="24"/>
              </w:rPr>
              <w:t xml:space="preserve">法定代表人</w:t>
            </w:r>
            <w:r/>
          </w:p>
        </w:tc>
        <w:tc>
          <w:tcPr>
            <w:tcW w:w="2005"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c>
          <w:tcPr>
            <w:tcW w:w="1461"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成立日期</w:t>
            </w:r>
            <w:r/>
          </w:p>
        </w:tc>
        <w:tc>
          <w:tcPr>
            <w:gridSpan w:val="2"/>
            <w:tcW w:w="3292"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企业地址</w:t>
            </w:r>
            <w:r/>
          </w:p>
        </w:tc>
        <w:tc>
          <w:tcPr>
            <w:tcW w:w="2005"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c>
          <w:tcPr>
            <w:tcW w:w="1461"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注册资本</w:t>
            </w:r>
            <w:r/>
          </w:p>
        </w:tc>
        <w:tc>
          <w:tcPr>
            <w:gridSpan w:val="2"/>
            <w:tcW w:w="3292" w:type="dxa"/>
            <w:textDirection w:val="lrTb"/>
            <w:noWrap w:val="false"/>
          </w:tcPr>
          <w:p>
            <w:pPr>
              <w:pStyle w:val="739"/>
              <w:ind w:firstLine="216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万元</w:t>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经营范围</w:t>
            </w:r>
            <w:r/>
          </w:p>
        </w:tc>
        <w:tc>
          <w:tcPr>
            <w:gridSpan w:val="4"/>
            <w:tcW w:w="6758"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职工人数</w:t>
            </w:r>
            <w:r/>
          </w:p>
        </w:tc>
        <w:tc>
          <w:tcPr>
            <w:tcW w:w="2005"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c>
          <w:tcPr>
            <w:gridSpan w:val="2"/>
            <w:tcW w:w="3707"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其中：有中高级以上职称的人数</w:t>
            </w:r>
            <w:r/>
          </w:p>
        </w:tc>
        <w:tc>
          <w:tcPr>
            <w:tcW w:w="1046"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Pr>
        <w:tc>
          <w:tcPr>
            <w:tcW w:w="2510" w:type="dxa"/>
            <w:vAlign w:val="center"/>
            <w:textDirection w:val="lrTb"/>
            <w:noWrap w:val="false"/>
          </w:tcPr>
          <w:p>
            <w:pPr>
              <w:pStyle w:val="739"/>
              <w:ind w:firstLine="0"/>
              <w:jc w:val="both"/>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资产总额</w:t>
            </w:r>
            <w:r/>
          </w:p>
        </w:tc>
        <w:tc>
          <w:tcPr>
            <w:tcW w:w="2005" w:type="dxa"/>
            <w:vAlign w:val="center"/>
            <w:textDirection w:val="lrTb"/>
            <w:noWrap w:val="false"/>
          </w:tcPr>
          <w:p>
            <w:pPr>
              <w:pStyle w:val="739"/>
              <w:ind w:firstLine="0"/>
              <w:jc w:val="center"/>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         万元</w:t>
            </w:r>
            <w:r/>
          </w:p>
        </w:tc>
        <w:tc>
          <w:tcPr>
            <w:tcW w:w="1461" w:type="dxa"/>
            <w:vAlign w:val="center"/>
            <w:textDirection w:val="lrTb"/>
            <w:noWrap w:val="false"/>
          </w:tcPr>
          <w:p>
            <w:pPr>
              <w:pStyle w:val="739"/>
              <w:ind w:firstLine="0"/>
              <w:jc w:val="both"/>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营业收入</w:t>
            </w:r>
            <w:r/>
          </w:p>
        </w:tc>
        <w:tc>
          <w:tcPr>
            <w:gridSpan w:val="2"/>
            <w:tcW w:w="3292" w:type="dxa"/>
            <w:vAlign w:val="center"/>
            <w:textDirection w:val="lrTb"/>
            <w:noWrap w:val="false"/>
          </w:tcPr>
          <w:p>
            <w:pPr>
              <w:pStyle w:val="739"/>
              <w:ind w:firstLine="0"/>
              <w:jc w:val="center"/>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   年             万元</w:t>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单位简历及内设机构情况</w:t>
            </w:r>
            <w:r/>
          </w:p>
        </w:tc>
        <w:tc>
          <w:tcPr>
            <w:gridSpan w:val="4"/>
            <w:tcW w:w="6758"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单位优势及特长</w:t>
            </w:r>
            <w:r/>
          </w:p>
        </w:tc>
        <w:tc>
          <w:tcPr>
            <w:gridSpan w:val="4"/>
            <w:tcW w:w="6758"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近三年来完成或正在履行的重大合同情况</w:t>
            </w:r>
            <w:r/>
          </w:p>
        </w:tc>
        <w:tc>
          <w:tcPr>
            <w:gridSpan w:val="4"/>
            <w:tcW w:w="6758"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最近3年内在经营过程中受到何种奖励或处分（情况和结果）</w:t>
            </w:r>
            <w:r/>
          </w:p>
        </w:tc>
        <w:tc>
          <w:tcPr>
            <w:gridSpan w:val="4"/>
            <w:tcW w:w="6758"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最近3年内有无因售假、售劣或是其他原因被消费者投诉或起诉的情况及说明（包括解决方式和结果）</w:t>
            </w:r>
            <w:r/>
          </w:p>
        </w:tc>
        <w:tc>
          <w:tcPr>
            <w:gridSpan w:val="4"/>
            <w:tcW w:w="6758"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最近3年内主要负责人有无因经济犯罪被司法机关追究的情况及说明</w:t>
            </w:r>
            <w:r/>
          </w:p>
        </w:tc>
        <w:tc>
          <w:tcPr>
            <w:gridSpan w:val="4"/>
            <w:tcW w:w="6758"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获得技术认证的工程师及简介</w:t>
            </w:r>
            <w:r/>
          </w:p>
        </w:tc>
        <w:tc>
          <w:tcPr>
            <w:gridSpan w:val="4"/>
            <w:tcW w:w="6758"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r>
        <w:trPr>
          <w:cantSplit/>
          <w:trHeight w:val="560"/>
        </w:trPr>
        <w:tc>
          <w:tcPr>
            <w:tcW w:w="2510"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其他需要说明的情况</w:t>
            </w:r>
            <w:r/>
          </w:p>
        </w:tc>
        <w:tc>
          <w:tcPr>
            <w:gridSpan w:val="4"/>
            <w:tcW w:w="6758" w:type="dxa"/>
            <w:textDirection w:val="lrTb"/>
            <w:noWrap w:val="false"/>
          </w:tcPr>
          <w:p>
            <w:pPr>
              <w:pStyle w:val="739"/>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tc>
      </w:tr>
    </w:tbl>
    <w:p>
      <w:pPr>
        <w:spacing w:line="360" w:lineRule="auto"/>
        <w:rPr>
          <w:rFonts w:hint="eastAsia" w:ascii="宋体" w:hAnsi="宋体" w:cs="宋体"/>
          <w:color w:val="000000"/>
          <w:sz w:val="24"/>
          <w:szCs w:val="24"/>
          <w:lang w:val="zh-CN"/>
        </w:rPr>
      </w:pPr>
      <w:r>
        <w:rPr>
          <w:rFonts w:hint="eastAsia" w:ascii="宋体" w:hAnsi="宋体" w:cs="宋体"/>
          <w:bCs/>
          <w:color w:val="000000"/>
          <w:sz w:val="24"/>
          <w:lang w:val="zh-CN"/>
        </w:rPr>
      </w:r>
      <w:r>
        <w:rPr>
          <w:rFonts w:hint="eastAsia" w:ascii="宋体" w:hAnsi="宋体" w:cs="宋体"/>
          <w:bCs/>
          <w:color w:val="000000"/>
          <w:sz w:val="24"/>
          <w:lang w:val="zh-CN"/>
        </w:rPr>
      </w:r>
    </w:p>
    <w:p>
      <w:pPr>
        <w:spacing w:line="360" w:lineRule="auto"/>
        <w:rPr>
          <w:rFonts w:hint="eastAsia" w:ascii="宋体" w:hAnsi="宋体" w:cs="宋体"/>
          <w:color w:val="000000"/>
          <w:sz w:val="24"/>
          <w:szCs w:val="24"/>
          <w:lang w:val="zh-CN"/>
        </w:rPr>
      </w:pPr>
      <w:r>
        <w:rPr>
          <w:rFonts w:hint="eastAsia" w:ascii="宋体" w:hAnsi="宋体" w:cs="宋体"/>
          <w:bCs/>
          <w:color w:val="000000"/>
          <w:sz w:val="24"/>
          <w:lang w:val="zh-CN"/>
        </w:rPr>
      </w:r>
      <w:r/>
    </w:p>
    <w:p>
      <w:pPr>
        <w:pStyle w:val="1032"/>
        <w:spacing w:after="0" w:line="360" w:lineRule="auto"/>
        <w:tabs>
          <w:tab w:val="left" w:pos="3840" w:leader="none"/>
        </w:tabs>
        <w:rPr>
          <w:rFonts w:hint="eastAsia" w:ascii="宋体" w:hAnsi="宋体" w:eastAsia="宋体" w:cs="宋体"/>
          <w:sz w:val="24"/>
          <w:szCs w:val="24"/>
          <w:lang w:val="zh-TW"/>
        </w:rPr>
        <w:framePr w:wrap="auto" w:yAlign="inline"/>
      </w:pPr>
      <w:r>
        <w:rPr>
          <w:rFonts w:hint="eastAsia" w:ascii="宋体" w:hAnsi="宋体" w:eastAsia="宋体" w:cs="宋体"/>
          <w:bCs/>
          <w:sz w:val="24"/>
          <w:szCs w:val="24"/>
          <w:lang w:val="zh-TW"/>
        </w:rPr>
        <w:br w:type="page" w:clear="all"/>
      </w:r>
      <w:r>
        <w:rPr>
          <w:rFonts w:hint="eastAsia" w:ascii="宋体" w:hAnsi="宋体" w:eastAsia="宋体" w:cs="宋体"/>
          <w:bCs/>
          <w:sz w:val="24"/>
          <w:szCs w:val="24"/>
          <w:lang w:val="zh-TW"/>
        </w:rPr>
      </w:r>
      <w:r>
        <w:rPr>
          <w:rFonts w:hint="eastAsia" w:ascii="宋体" w:hAnsi="宋体" w:eastAsia="宋体" w:cs="宋体"/>
          <w:bCs/>
          <w:sz w:val="24"/>
          <w:szCs w:val="24"/>
        </w:rPr>
      </w:r>
    </w:p>
    <w:p>
      <w:pPr>
        <w:pStyle w:val="1032"/>
        <w:spacing w:after="0" w:line="360" w:lineRule="auto"/>
        <w:tabs>
          <w:tab w:val="left" w:pos="3840" w:leader="none"/>
        </w:tabs>
        <w:rPr>
          <w:rFonts w:hint="eastAsia" w:ascii="宋体" w:hAnsi="宋体" w:eastAsia="宋体" w:cs="宋体"/>
          <w:sz w:val="24"/>
          <w:szCs w:val="24"/>
        </w:rPr>
        <w:framePr w:wrap="auto" w:yAlign="inline"/>
      </w:pPr>
      <w:r>
        <w:rPr>
          <w:rFonts w:hint="eastAsia" w:ascii="宋体" w:hAnsi="宋体" w:eastAsia="宋体" w:cs="宋体"/>
          <w:bCs/>
          <w:sz w:val="24"/>
          <w:szCs w:val="24"/>
          <w:lang w:val="zh-TW"/>
        </w:rPr>
        <w:t xml:space="preserve">3）</w:t>
      </w:r>
      <w:r>
        <w:rPr>
          <w:rFonts w:hint="eastAsia" w:ascii="宋体" w:hAnsi="宋体" w:eastAsia="宋体" w:cs="宋体"/>
          <w:bCs/>
          <w:sz w:val="24"/>
          <w:szCs w:val="24"/>
          <w:lang w:val="zh-TW" w:eastAsia="zh-TW"/>
        </w:rPr>
        <w:t xml:space="preserve">中小企业声明函。</w:t>
      </w:r>
      <w:r/>
      <w:r/>
    </w:p>
    <w:p>
      <w:pPr>
        <w:jc w:val="center"/>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中小企业声明函</w:t>
      </w:r>
      <w:r/>
    </w:p>
    <w:p>
      <w:pPr>
        <w:pStyle w:val="856"/>
        <w:spacing w:line="360" w:lineRule="auto"/>
        <w:rPr>
          <w:rFonts w:hint="eastAsia" w:hAnsi="宋体" w:eastAsia="宋体" w:cs="宋体"/>
          <w:bCs/>
          <w:color w:val="000000"/>
          <w:sz w:val="24"/>
          <w:szCs w:val="24"/>
          <w:lang w:val="zh-CN"/>
        </w:rPr>
      </w:pPr>
      <w:r>
        <w:rPr>
          <w:rFonts w:hint="eastAsia" w:hAnsi="宋体" w:eastAsia="宋体" w:cs="宋体"/>
          <w:bCs/>
          <w:color w:val="000000"/>
          <w:sz w:val="24"/>
          <w:szCs w:val="24"/>
          <w:lang w:val="zh-CN"/>
        </w:rPr>
        <w:t xml:space="preserve">______________________：</w:t>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本公司郑重声明，根据《政府采购促进中小企业发展管理办法》（财库</w:t>
      </w:r>
      <w:r>
        <w:rPr>
          <w:rFonts w:hint="eastAsia" w:ascii="宋体" w:hAnsi="宋体" w:cs="宋体"/>
          <w:bCs/>
          <w:color w:val="000000"/>
          <w:sz w:val="24"/>
        </w:rPr>
        <w:t xml:space="preserve">〔2020〕46号</w:t>
      </w:r>
      <w:r>
        <w:rPr>
          <w:rFonts w:hint="eastAsia" w:ascii="宋体" w:hAnsi="宋体" w:cs="宋体"/>
          <w:bCs/>
          <w:color w:val="000000"/>
          <w:sz w:val="24"/>
          <w:lang w:val="zh-CN"/>
        </w:rPr>
        <w:t xml:space="preserve">）的规定，本公司参加     单位名称  的项目名称 的采购活动，提供的服务全部由符合政策要求的中小企业承接，相关企业（含联合体中的中小企业、签订分包意向协议的中小企业）具体情况如下：</w:t>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1、标的名称 为</w:t>
      </w:r>
      <w:bookmarkStart w:id="62" w:name="OLE_LINK5"/>
      <w:r/>
      <w:bookmarkStart w:id="63" w:name="OLE_LINK2"/>
      <w:r>
        <w:rPr>
          <w:rFonts w:hint="eastAsia" w:ascii="宋体" w:hAnsi="宋体" w:cs="宋体"/>
          <w:bCs/>
          <w:color w:val="000000"/>
          <w:sz w:val="24"/>
          <w:lang w:val="zh-CN"/>
        </w:rPr>
        <w:t xml:space="preserve">_属于（采购文件中明确的所属行业）行业；承接企业为_（企业名称），从业人员____人，营业收入为____万元，资产总额为____万元，属于：中型企业、小型企业、微型企业）；</w:t>
      </w:r>
      <w:bookmarkEnd w:id="62"/>
      <w:r/>
      <w:bookmarkEnd w:id="63"/>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rPr>
        <w:t xml:space="preserve">2</w:t>
      </w:r>
      <w:r>
        <w:rPr>
          <w:rFonts w:hint="eastAsia" w:ascii="宋体" w:hAnsi="宋体" w:cs="宋体"/>
          <w:bCs/>
          <w:color w:val="000000"/>
          <w:sz w:val="24"/>
          <w:lang w:val="zh-CN"/>
        </w:rPr>
        <w:t xml:space="preserve">、标的名称 为_属于（采购文件中明确的所属行业）行业；承接企业为_（企业名称），从业人员____人，营业收入为____万元，资产总额为____万元，属于：中型企业、小型企业、微型企业）；</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本企业对上述声明内容的真实性负责。如有虚假，将依法承担相应责任。</w:t>
      </w:r>
      <w:r/>
    </w:p>
    <w:p>
      <w:pPr>
        <w:pStyle w:val="856"/>
        <w:spacing w:line="360" w:lineRule="auto"/>
        <w:rPr>
          <w:rFonts w:hint="eastAsia" w:hAnsi="宋体" w:eastAsia="宋体" w:cs="宋体"/>
          <w:bCs/>
          <w:color w:val="000000"/>
          <w:sz w:val="24"/>
          <w:szCs w:val="24"/>
        </w:rPr>
      </w:pPr>
      <w:r>
        <w:rPr>
          <w:rFonts w:hint="eastAsia" w:hAnsi="宋体" w:eastAsia="宋体" w:cs="宋体"/>
          <w:bCs/>
          <w:color w:val="000000"/>
          <w:sz w:val="24"/>
          <w:szCs w:val="24"/>
        </w:rPr>
        <w:t xml:space="preserve">企业名称：（单位盖章）</w:t>
      </w:r>
      <w:r/>
    </w:p>
    <w:p>
      <w:pPr>
        <w:ind w:left="435"/>
        <w:spacing w:line="360" w:lineRule="auto"/>
        <w:rPr>
          <w:rFonts w:hint="eastAsia" w:ascii="宋体" w:hAnsi="宋体" w:cs="宋体"/>
          <w:bCs/>
          <w:color w:val="000000"/>
          <w:sz w:val="24"/>
        </w:rPr>
      </w:pPr>
      <w:r>
        <w:rPr>
          <w:rFonts w:hint="eastAsia" w:ascii="宋体" w:hAnsi="宋体" w:cs="宋体"/>
          <w:bCs/>
          <w:color w:val="000000"/>
          <w:sz w:val="24"/>
        </w:rPr>
        <w:t xml:space="preserve">日期：     年    月   日</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注:</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1、不同行业的中小微企业划分标准以工信部、国家统计局、国家发改委、财政部《关于印发中小企业划型标准规定的通知》（工信部联企业〔2011〕300号）为准。</w:t>
      </w:r>
      <w:r/>
    </w:p>
    <w:p>
      <w:pPr>
        <w:ind w:firstLine="480"/>
        <w:spacing w:line="360" w:lineRule="auto"/>
        <w:rPr>
          <w:rFonts w:hint="eastAsia" w:ascii="宋体" w:hAnsi="宋体" w:cs="宋体"/>
          <w:bCs/>
          <w:color w:val="000000"/>
          <w:sz w:val="24"/>
        </w:rPr>
      </w:pPr>
      <w:r/>
      <w:bookmarkStart w:id="64" w:name="_Hlk61287436"/>
      <w:r>
        <w:rPr>
          <w:rFonts w:hint="eastAsia" w:ascii="宋体" w:hAnsi="宋体" w:cs="宋体"/>
          <w:bCs/>
          <w:color w:val="000000"/>
          <w:sz w:val="24"/>
        </w:rPr>
        <w:t xml:space="preserve">2、从业人员、营业收入、资产总额填报上一年度数据，无上一年度数据的新成立企业可以不填报。</w:t>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rPr>
        <w:t xml:space="preserve">3、本项目所属行业：</w:t>
      </w:r>
      <w:r>
        <w:rPr>
          <w:rFonts w:hint="eastAsia" w:ascii="宋体" w:hAnsi="宋体" w:cs="宋体"/>
          <w:bCs/>
          <w:color w:val="000000"/>
          <w:sz w:val="24"/>
        </w:rPr>
        <w:t xml:space="preserve">其他未列明行业</w:t>
      </w:r>
      <w:r>
        <w:rPr>
          <w:rFonts w:hint="eastAsia" w:ascii="宋体" w:hAnsi="宋体" w:cs="宋体"/>
          <w:bCs/>
          <w:color w:val="000000"/>
          <w:sz w:val="24"/>
        </w:rPr>
        <w:t xml:space="preserve">。</w:t>
      </w:r>
      <w:bookmarkEnd w:id="64"/>
      <w:r/>
      <w:r/>
    </w:p>
    <w:p>
      <w:pPr>
        <w:ind w:firstLine="480"/>
        <w:spacing w:line="360" w:lineRule="auto"/>
        <w:rPr>
          <w:rFonts w:hint="eastAsia" w:ascii="宋体" w:hAnsi="宋体" w:cs="宋体"/>
          <w:bCs/>
          <w:color w:val="000000"/>
          <w:sz w:val="24"/>
          <w:lang w:val="zh-CN"/>
        </w:rPr>
      </w:pPr>
      <w:r>
        <w:rPr>
          <w:rFonts w:hint="eastAsia" w:ascii="宋体" w:hAnsi="宋体" w:cs="宋体"/>
          <w:bCs/>
          <w:color w:val="000000"/>
          <w:sz w:val="24"/>
        </w:rPr>
        <w:t xml:space="preserve">从业人员、营业收入、资产总额填报上一年度数据，无上一年度数据的新成立企业可不填报。</w:t>
      </w:r>
      <w:r/>
    </w:p>
    <w:p>
      <w:pPr>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spacing w:line="360" w:lineRule="auto"/>
        <w:rPr>
          <w:rFonts w:hint="eastAsia" w:ascii="宋体" w:hAnsi="宋体" w:cs="宋体"/>
          <w:bCs/>
          <w:color w:val="000000"/>
          <w:sz w:val="24"/>
          <w:lang w:val="zh-CN"/>
        </w:rPr>
      </w:pPr>
      <w:r>
        <w:rPr>
          <w:rFonts w:hint="eastAsia" w:ascii="宋体" w:hAnsi="宋体" w:cs="宋体"/>
          <w:bCs/>
          <w:color w:val="000000"/>
          <w:sz w:val="24"/>
          <w:lang w:val="zh-CN"/>
        </w:rPr>
      </w:r>
      <w:r/>
    </w:p>
    <w:p>
      <w:pPr>
        <w:spacing w:line="360" w:lineRule="auto"/>
        <w:rPr>
          <w:rFonts w:hint="eastAsia" w:ascii="宋体" w:hAnsi="宋体" w:cs="宋体"/>
          <w:bCs/>
          <w:color w:val="000000"/>
          <w:sz w:val="24"/>
        </w:rPr>
      </w:pPr>
      <w:r>
        <w:rPr>
          <w:rFonts w:hint="eastAsia" w:ascii="宋体" w:hAnsi="宋体" w:cs="宋体"/>
          <w:bCs/>
          <w:color w:val="000000"/>
          <w:sz w:val="24"/>
          <w:lang w:val="zh-CN"/>
        </w:rPr>
        <w:t xml:space="preserve">4)</w:t>
      </w:r>
      <w:r>
        <w:rPr>
          <w:rFonts w:hint="eastAsia" w:ascii="宋体" w:hAnsi="宋体" w:cs="宋体"/>
          <w:bCs/>
          <w:color w:val="000000"/>
          <w:sz w:val="24"/>
        </w:rPr>
        <w:t xml:space="preserve">残疾人福利性单位声明函</w:t>
      </w:r>
      <w:r/>
    </w:p>
    <w:p>
      <w:pPr>
        <w:ind w:firstLine="360"/>
        <w:spacing w:line="360" w:lineRule="auto"/>
        <w:rPr>
          <w:rFonts w:hint="eastAsia" w:ascii="宋体" w:hAnsi="宋体" w:cs="宋体"/>
          <w:bCs/>
          <w:color w:val="000000"/>
          <w:sz w:val="24"/>
        </w:rPr>
      </w:pPr>
      <w:r>
        <w:rPr>
          <w:rFonts w:hint="eastAsia" w:ascii="宋体" w:hAnsi="宋体" w:cs="宋体"/>
          <w:bCs/>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本单位对上述声明的真实性负责。如有虚假，将依法承担相应责任。</w:t>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单位名称（盖章）：</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日  期：</w:t>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jc w:val="center"/>
        <w:spacing w:line="360" w:lineRule="auto"/>
        <w:rPr>
          <w:rStyle w:val="905"/>
          <w:rFonts w:hint="eastAsia" w:ascii="宋体" w:hAnsi="宋体" w:cs="宋体"/>
          <w:b w:val="0"/>
          <w:bCs/>
          <w:color w:val="000000"/>
          <w:sz w:val="24"/>
        </w:rPr>
      </w:pPr>
      <w:r>
        <w:rPr>
          <w:rFonts w:hint="eastAsia" w:ascii="宋体" w:hAnsi="宋体" w:cs="宋体"/>
          <w:b w:val="0"/>
          <w:bCs/>
          <w:color w:val="000000"/>
          <w:sz w:val="24"/>
        </w:rPr>
      </w:r>
      <w:r/>
    </w:p>
    <w:p>
      <w:pPr>
        <w:jc w:val="center"/>
        <w:spacing w:line="360" w:lineRule="auto"/>
        <w:rPr>
          <w:rStyle w:val="905"/>
          <w:rFonts w:hint="eastAsia" w:ascii="宋体" w:hAnsi="宋体" w:cs="宋体"/>
          <w:b w:val="0"/>
          <w:bCs/>
          <w:color w:val="000000"/>
          <w:sz w:val="24"/>
        </w:rPr>
      </w:pPr>
      <w:r>
        <w:rPr>
          <w:rFonts w:hint="eastAsia" w:ascii="宋体" w:hAnsi="宋体" w:cs="宋体"/>
          <w:b w:val="0"/>
          <w:bCs/>
          <w:color w:val="000000"/>
          <w:sz w:val="24"/>
        </w:rPr>
      </w:r>
      <w:r/>
    </w:p>
    <w:p>
      <w:pPr>
        <w:jc w:val="center"/>
        <w:spacing w:line="360" w:lineRule="auto"/>
        <w:rPr>
          <w:rStyle w:val="905"/>
          <w:rFonts w:hint="eastAsia" w:ascii="宋体" w:hAnsi="宋体" w:cs="宋体"/>
          <w:b w:val="0"/>
          <w:bCs/>
          <w:color w:val="000000"/>
          <w:sz w:val="24"/>
        </w:rPr>
      </w:pPr>
      <w:r>
        <w:rPr>
          <w:rFonts w:hint="eastAsia" w:ascii="宋体" w:hAnsi="宋体" w:cs="宋体"/>
          <w:b w:val="0"/>
          <w:bCs/>
          <w:color w:val="000000"/>
          <w:sz w:val="24"/>
        </w:rPr>
      </w:r>
      <w:r/>
    </w:p>
    <w:p>
      <w:pPr>
        <w:jc w:val="center"/>
        <w:spacing w:line="360" w:lineRule="auto"/>
        <w:rPr>
          <w:rStyle w:val="905"/>
          <w:rFonts w:hint="eastAsia" w:ascii="宋体" w:hAnsi="宋体" w:cs="宋体"/>
          <w:b w:val="0"/>
          <w:bCs/>
          <w:color w:val="000000"/>
          <w:sz w:val="24"/>
        </w:rPr>
      </w:pPr>
      <w:r>
        <w:rPr>
          <w:rFonts w:hint="eastAsia" w:ascii="宋体" w:hAnsi="宋体" w:cs="宋体"/>
          <w:b w:val="0"/>
          <w:bCs/>
          <w:color w:val="000000"/>
          <w:sz w:val="24"/>
        </w:rPr>
      </w:r>
      <w:r/>
    </w:p>
    <w:p>
      <w:pPr>
        <w:jc w:val="center"/>
        <w:spacing w:line="360" w:lineRule="auto"/>
        <w:rPr>
          <w:rStyle w:val="905"/>
          <w:rFonts w:hint="eastAsia" w:ascii="宋体" w:hAnsi="宋体" w:cs="宋体"/>
          <w:b w:val="0"/>
          <w:bCs/>
          <w:color w:val="000000"/>
          <w:sz w:val="24"/>
        </w:rPr>
      </w:pPr>
      <w:r>
        <w:rPr>
          <w:rFonts w:hint="eastAsia" w:ascii="宋体" w:hAnsi="宋体" w:cs="宋体"/>
          <w:b w:val="0"/>
          <w:bCs/>
          <w:color w:val="000000"/>
          <w:sz w:val="24"/>
        </w:rPr>
      </w:r>
      <w:r/>
    </w:p>
    <w:p>
      <w:pPr>
        <w:jc w:val="center"/>
        <w:spacing w:line="360" w:lineRule="auto"/>
        <w:rPr>
          <w:rStyle w:val="905"/>
          <w:rFonts w:hint="eastAsia" w:ascii="宋体" w:hAnsi="宋体" w:cs="宋体"/>
          <w:b w:val="0"/>
          <w:bCs/>
          <w:color w:val="000000"/>
          <w:sz w:val="24"/>
        </w:rPr>
      </w:pPr>
      <w:r>
        <w:rPr>
          <w:rStyle w:val="905"/>
          <w:rFonts w:hint="eastAsia" w:ascii="宋体" w:hAnsi="宋体" w:cs="宋体"/>
          <w:b w:val="0"/>
          <w:bCs/>
          <w:color w:val="000000"/>
          <w:sz w:val="24"/>
        </w:rPr>
        <w:br w:type="page" w:clear="all"/>
      </w:r>
      <w:r>
        <w:rPr>
          <w:rStyle w:val="905"/>
          <w:rFonts w:hint="eastAsia" w:ascii="宋体" w:hAnsi="宋体" w:cs="宋体"/>
          <w:b w:val="0"/>
          <w:bCs/>
          <w:color w:val="000000"/>
          <w:sz w:val="24"/>
        </w:rPr>
        <w:t xml:space="preserve">第四章 招标书</w:t>
      </w:r>
      <w:r/>
    </w:p>
    <w:p>
      <w:pPr>
        <w:ind w:firstLine="480"/>
        <w:spacing w:line="360" w:lineRule="auto"/>
        <w:tabs>
          <w:tab w:val="left" w:pos="3600" w:leader="none"/>
        </w:tabs>
        <w:rPr>
          <w:rFonts w:hint="eastAsia" w:ascii="宋体" w:hAnsi="宋体" w:cs="宋体"/>
          <w:bCs/>
          <w:color w:val="000000"/>
          <w:sz w:val="24"/>
          <w:lang w:val="zh-CN"/>
        </w:rPr>
      </w:pPr>
      <w:r>
        <w:rPr>
          <w:rFonts w:hint="eastAsia" w:ascii="宋体" w:hAnsi="宋体" w:cs="宋体"/>
          <w:bCs/>
          <w:color w:val="000000"/>
          <w:sz w:val="24"/>
          <w:lang w:val="zh-CN"/>
        </w:rPr>
        <w:t xml:space="preserve">受</w:t>
      </w:r>
      <w:r>
        <w:rPr>
          <w:rFonts w:hint="eastAsia" w:ascii="宋体" w:hAnsi="宋体" w:cs="宋体"/>
          <w:bCs/>
          <w:color w:val="000000"/>
          <w:sz w:val="24"/>
          <w:lang w:val="zh-CN"/>
        </w:rPr>
        <w:t xml:space="preserve">苏州市市政设施管理处</w:t>
      </w:r>
      <w:r>
        <w:rPr>
          <w:rFonts w:hint="eastAsia" w:ascii="宋体" w:hAnsi="宋体" w:cs="宋体"/>
          <w:bCs/>
          <w:color w:val="000000"/>
          <w:sz w:val="24"/>
          <w:lang w:val="zh-CN"/>
        </w:rPr>
        <w:t xml:space="preserve">的委托，苏州铖溢林建设工程管理有限公司对</w:t>
      </w:r>
      <w:r>
        <w:rPr>
          <w:rFonts w:hint="eastAsia" w:ascii="宋体" w:hAnsi="宋体" w:cs="宋体"/>
          <w:bCs/>
          <w:color w:val="000000"/>
          <w:sz w:val="24"/>
        </w:rPr>
        <w:t xml:space="preserve">其</w:t>
      </w:r>
      <w:r>
        <w:rPr>
          <w:rFonts w:hint="eastAsia" w:ascii="宋体" w:hAnsi="宋体" w:cs="宋体"/>
          <w:bCs/>
          <w:color w:val="000000"/>
          <w:sz w:val="24"/>
          <w:lang w:val="zh-CN"/>
        </w:rPr>
        <w:t xml:space="preserve">所需采购的</w:t>
      </w:r>
      <w:r>
        <w:rPr>
          <w:rFonts w:hint="eastAsia" w:ascii="宋体" w:hAnsi="宋体" w:cs="宋体"/>
          <w:bCs/>
          <w:color w:val="000000"/>
          <w:sz w:val="24"/>
        </w:rPr>
        <w:t xml:space="preserve">2026-2027年度市政设施维护服务项目（道路）</w:t>
      </w:r>
      <w:r>
        <w:rPr>
          <w:rFonts w:hint="eastAsia" w:ascii="宋体" w:hAnsi="宋体" w:cs="宋体"/>
          <w:bCs/>
          <w:color w:val="000000"/>
          <w:sz w:val="24"/>
          <w:lang w:val="zh-CN"/>
        </w:rPr>
        <w:t xml:space="preserve">在国内组织公开招标。欢迎符合招标公告中投标资格条件的各供应商前来参加投标。</w:t>
      </w:r>
      <w:r/>
    </w:p>
    <w:p>
      <w:pPr>
        <w:ind w:firstLine="482"/>
        <w:spacing w:line="360" w:lineRule="auto"/>
        <w:rPr>
          <w:rFonts w:hint="eastAsia" w:ascii="宋体" w:hAnsi="宋体" w:cs="宋体"/>
          <w:bCs/>
          <w:color w:val="000000"/>
          <w:sz w:val="24"/>
          <w:lang w:val="zh-CN"/>
        </w:rPr>
      </w:pPr>
      <w:r>
        <w:rPr>
          <w:rFonts w:hint="eastAsia" w:ascii="宋体" w:hAnsi="宋体" w:cs="宋体"/>
          <w:bCs/>
          <w:color w:val="000000"/>
          <w:sz w:val="24"/>
          <w:lang w:val="zh-CN"/>
        </w:rPr>
        <w:t xml:space="preserve">一、项目编号：</w:t>
      </w:r>
      <w:r>
        <w:rPr>
          <w:rFonts w:hint="eastAsia" w:ascii="宋体" w:hAnsi="宋体" w:cs="宋体"/>
          <w:bCs/>
          <w:color w:val="000000"/>
          <w:sz w:val="24"/>
          <w:lang w:val="zh-CN"/>
        </w:rPr>
        <w:t xml:space="preserve">JSZC-320508-CYLY-G2025-0035</w:t>
      </w:r>
      <w:r>
        <w:rPr>
          <w:rFonts w:hint="eastAsia" w:ascii="宋体" w:hAnsi="宋体" w:cs="宋体"/>
          <w:bCs/>
          <w:color w:val="000000"/>
          <w:sz w:val="24"/>
          <w:lang w:val="zh-CN"/>
        </w:rPr>
        <w:t xml:space="preserve">号</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二、项目名称：</w:t>
      </w:r>
      <w:r>
        <w:rPr>
          <w:rFonts w:hint="eastAsia" w:ascii="宋体" w:hAnsi="宋体" w:cs="宋体"/>
          <w:bCs/>
          <w:color w:val="000000"/>
          <w:sz w:val="24"/>
        </w:rPr>
        <w:t xml:space="preserve">2026-2027年度市政设施维护服务项目（道路）</w:t>
      </w:r>
      <w:r>
        <w:rPr>
          <w:rFonts w:hint="eastAsia" w:ascii="宋体" w:hAnsi="宋体" w:cs="宋体"/>
          <w:bCs/>
          <w:color w:val="000000"/>
          <w:sz w:val="24"/>
        </w:rPr>
        <w:t xml:space="preserve">  </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预算金额：人民币壹亿壹仟贰佰万元整（￥11,2000000.00）</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最高限价：人民币壹亿壹仟壹佰玖拾玖万玖仟捌佰陆拾伍元捌角壹分（￥111999865.81）</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其中第一标段：2026-2027年度市政设施维护服务项目（道路1标）</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预算金额：叁仟伍佰肆拾万元整（￥35400000.00）</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最高限价：叁仟伍佰叁拾玖万玖仟玖佰叁拾叁元玖角整（￥35399933.90）</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其中第二标段：2026-2027年度市政设施维护服务项目（道路2标）</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预算金额：叁仟柒佰贰拾万元整（￥37200000.00）</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最高限价：叁仟柒佰壹拾玖万玖仟玖佰捌拾捌元零贰分（￥37199988.02）</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其中第三标段：2026-2027年度市政设施维护服务项目（道路3标）</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预算金额：叁仟玖佰肆拾万元整（￥39400000.00）</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最高限价：叁仟玖佰叁拾玖万玖仟玖佰肆拾叁元捌角玖分（￥39399943.89），报价不得超过此最高限价，超过为无效标。</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注：本项目单价报价与总价报价均不可超采购清单中的单价最高限价和合价最高限价，超过为无效标。</w:t>
      </w:r>
      <w:r/>
    </w:p>
    <w:p>
      <w:pPr>
        <w:ind w:firstLine="482"/>
        <w:spacing w:line="360" w:lineRule="auto"/>
        <w:tabs>
          <w:tab w:val="left" w:pos="3600" w:leader="none"/>
        </w:tabs>
        <w:rPr>
          <w:rFonts w:hint="eastAsia" w:ascii="宋体" w:hAnsi="宋体" w:cs="宋体"/>
          <w:bCs/>
          <w:color w:val="000000"/>
          <w:sz w:val="24"/>
        </w:rPr>
      </w:pPr>
      <w:r>
        <w:rPr>
          <w:rFonts w:hint="eastAsia" w:ascii="宋体" w:hAnsi="宋体" w:cs="宋体"/>
          <w:bCs/>
          <w:color w:val="000000"/>
          <w:sz w:val="24"/>
        </w:rPr>
        <w:t xml:space="preserve">服务期限：2026年1月1日至2027年12月31日。（具体起始时间按采购方通知为准）</w:t>
      </w:r>
      <w:r/>
    </w:p>
    <w:p>
      <w:pPr>
        <w:ind w:firstLine="470"/>
        <w:spacing w:line="360" w:lineRule="auto"/>
        <w:rPr>
          <w:rFonts w:hint="eastAsia" w:ascii="宋体" w:hAnsi="宋体" w:cs="宋体"/>
          <w:bCs/>
          <w:sz w:val="24"/>
        </w:rPr>
      </w:pPr>
      <w:r>
        <w:rPr>
          <w:rFonts w:hint="eastAsia" w:ascii="宋体" w:hAnsi="宋体" w:cs="宋体"/>
          <w:bCs/>
          <w:sz w:val="24"/>
        </w:rPr>
        <w:t xml:space="preserve">三、采购内容及要求：</w:t>
      </w:r>
      <w:r/>
    </w:p>
    <w:p>
      <w:pPr>
        <w:pStyle w:val="745"/>
        <w:ind w:firstLine="480"/>
        <w:rPr>
          <w:rFonts w:hint="eastAsia" w:cs="宋体"/>
          <w:sz w:val="24"/>
          <w:szCs w:val="24"/>
        </w:rPr>
      </w:pPr>
      <w:r>
        <w:rPr>
          <w:rFonts w:hint="eastAsia" w:cs="宋体"/>
          <w:sz w:val="24"/>
          <w:szCs w:val="24"/>
        </w:rPr>
        <w:t xml:space="preserve">1、2026-2027年度市政设施维护服务项目（道路）包括服务期限内对服务对象进行日常巡视，针对不同损坏程度、病害情况进行相适应的零星维护或者专项维护及应急抢险等维护管理</w:t>
      </w:r>
      <w:r>
        <w:rPr>
          <w:rFonts w:hint="eastAsia" w:cs="宋体"/>
          <w:sz w:val="24"/>
          <w:szCs w:val="24"/>
        </w:rPr>
        <w:t xml:space="preserve">工作</w:t>
      </w:r>
      <w:r>
        <w:rPr>
          <w:rFonts w:hint="eastAsia" w:cs="宋体"/>
          <w:sz w:val="24"/>
          <w:szCs w:val="24"/>
        </w:rPr>
        <w:t xml:space="preserve">内容。</w:t>
      </w:r>
      <w:r/>
    </w:p>
    <w:p>
      <w:pPr>
        <w:ind w:firstLine="420"/>
        <w:spacing w:line="360" w:lineRule="auto"/>
        <w:tabs>
          <w:tab w:val="left" w:pos="840" w:leader="none"/>
        </w:tabs>
        <w:rPr>
          <w:rFonts w:hint="eastAsia" w:ascii="宋体" w:hAnsi="宋体"/>
          <w:sz w:val="24"/>
        </w:rPr>
      </w:pPr>
      <w:r/>
      <w:bookmarkStart w:id="65" w:name="_Hlk213412563"/>
      <w:r>
        <w:rPr>
          <w:rFonts w:hint="eastAsia" w:ascii="宋体" w:hAnsi="宋体" w:cs="宋体"/>
          <w:sz w:val="24"/>
        </w:rPr>
        <w:t xml:space="preserve">第一标段：2026-2027年度市政设施维护服务项目（道</w:t>
      </w:r>
      <w:r>
        <w:rPr>
          <w:rFonts w:hint="eastAsia" w:ascii="宋体" w:hAnsi="宋体"/>
          <w:sz w:val="24"/>
        </w:rPr>
        <w:t xml:space="preserve">路1标）</w:t>
      </w:r>
      <w:r/>
    </w:p>
    <w:p>
      <w:pPr>
        <w:ind w:firstLine="420"/>
        <w:spacing w:line="360" w:lineRule="auto"/>
        <w:tabs>
          <w:tab w:val="left" w:pos="840" w:leader="none"/>
        </w:tabs>
        <w:rPr>
          <w:rFonts w:hint="eastAsia" w:ascii="宋体" w:hAnsi="宋体"/>
          <w:sz w:val="24"/>
        </w:rPr>
      </w:pPr>
      <w:r>
        <w:rPr>
          <w:rFonts w:hint="eastAsia" w:ascii="宋体" w:hAnsi="宋体"/>
          <w:sz w:val="24"/>
        </w:rPr>
        <w:t xml:space="preserve">项目实施范围包括：苏锦街道及平江街道环古城河以外区域等范围道路（不含干将东路），包括北环东路、江宇路、总官堂路、广济北路、日规路等</w:t>
      </w:r>
      <w:r>
        <w:rPr>
          <w:rFonts w:hint="eastAsia" w:ascii="宋体" w:hAnsi="宋体"/>
          <w:sz w:val="24"/>
        </w:rPr>
        <w:t xml:space="preserve">道路，车行道面积约169.12万平方米，人行道面积约41.45万平方米。其中养护等级I等的道路总长约51547米，设施量为车行道约1376017.14平方米，人行道约330796.13平方米，平侧石约451877.06米；养护等级II等的道路总长约18946米，设施量为车行道约315230.06平方米，人行道约83664.17平方米，平侧石约111959.25米</w:t>
      </w:r>
      <w:bookmarkEnd w:id="65"/>
      <w:r>
        <w:rPr>
          <w:rFonts w:hint="eastAsia" w:ascii="宋体" w:hAnsi="宋体"/>
          <w:sz w:val="24"/>
        </w:rPr>
        <w:t xml:space="preserve">。</w:t>
      </w:r>
      <w:r/>
    </w:p>
    <w:p>
      <w:pPr>
        <w:ind w:firstLine="420"/>
        <w:spacing w:line="360" w:lineRule="auto"/>
        <w:tabs>
          <w:tab w:val="left" w:pos="840" w:leader="none"/>
        </w:tabs>
        <w:rPr>
          <w:rFonts w:hint="eastAsia" w:ascii="宋体" w:hAnsi="宋体"/>
          <w:sz w:val="24"/>
        </w:rPr>
      </w:pPr>
      <w:r>
        <w:rPr>
          <w:rFonts w:hint="eastAsia" w:ascii="宋体" w:hAnsi="宋体"/>
          <w:sz w:val="24"/>
        </w:rPr>
        <w:t xml:space="preserve">清单内容：</w:t>
      </w:r>
      <w:r/>
    </w:p>
    <w:tbl>
      <w:tblPr>
        <w:tblW w:w="9460" w:type="dxa"/>
        <w:tblLayout w:type="fixed"/>
        <w:tblLook w:val="04A0" w:firstRow="1" w:lastRow="0" w:firstColumn="1" w:lastColumn="0" w:noHBand="0" w:noVBand="1"/>
      </w:tblPr>
      <w:tblGrid>
        <w:gridCol w:w="815"/>
        <w:gridCol w:w="1603"/>
        <w:gridCol w:w="4000"/>
        <w:gridCol w:w="825"/>
        <w:gridCol w:w="846"/>
        <w:gridCol w:w="1371"/>
      </w:tblGrid>
      <w:tr>
        <w:trPr>
          <w:trHeight w:val="956"/>
        </w:trPr>
        <w:tc>
          <w:tcPr>
            <w:tcBorders>
              <w:top w:val="single" w:color="000000" w:sz="8"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000000" w:sz="8" w:space="0"/>
              <w:left w:val="single" w:color="000000" w:sz="4" w:space="0"/>
              <w:bottom w:val="single" w:color="000000" w:sz="4" w:space="0"/>
              <w:right w:val="single" w:color="000000" w:sz="4" w:space="0"/>
            </w:tcBorders>
            <w:tcW w:w="1603"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项目名称</w:t>
            </w:r>
            <w:r/>
          </w:p>
        </w:tc>
        <w:tc>
          <w:tcPr>
            <w:tcBorders>
              <w:top w:val="single" w:color="000000" w:sz="8" w:space="0"/>
              <w:left w:val="single" w:color="000000" w:sz="4" w:space="0"/>
              <w:bottom w:val="single" w:color="000000" w:sz="4" w:space="0"/>
              <w:right w:val="single" w:color="000000" w:sz="4" w:space="0"/>
            </w:tcBorders>
            <w:tcW w:w="4000"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项目描述</w:t>
            </w:r>
            <w:r/>
          </w:p>
        </w:tc>
        <w:tc>
          <w:tcPr>
            <w:tcBorders>
              <w:top w:val="single" w:color="000000" w:sz="8"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c>
          <w:tcPr>
            <w:tcBorders>
              <w:top w:val="single" w:color="000000" w:sz="8" w:space="0"/>
              <w:left w:val="single" w:color="000000" w:sz="4" w:space="0"/>
              <w:bottom w:val="single" w:color="000000" w:sz="4" w:space="0"/>
              <w:right w:val="single" w:color="auto" w:sz="4" w:space="0"/>
            </w:tcBorders>
            <w:tcW w:w="84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最高限价单价/元</w:t>
            </w:r>
            <w:r/>
          </w:p>
        </w:tc>
      </w:tr>
      <w:tr>
        <w:trPr>
          <w:trHeight w:val="28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0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第一部分 巡视</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2955"/>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日常巡视（标段1）</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1、工作量计算规则：以“月”为单位，费用自行测算， 按报价结合考核结算</w:t>
            </w:r>
            <w:r>
              <w:rPr>
                <w:rFonts w:hint="eastAsia" w:ascii="宋体" w:hAnsi="宋体" w:cs="宋体"/>
                <w:szCs w:val="21"/>
              </w:rPr>
              <w:br/>
              <w:t xml:space="preserve">2、维护内容：专用巡视车辆（含驾驶人员）对区域范围内市政道路及设施进行日常巡视；专职道路管理人员或养护技术人员对道路（含人行道）及附属设施进行巡视</w:t>
            </w:r>
            <w:r>
              <w:rPr>
                <w:rFonts w:hint="eastAsia" w:ascii="宋体" w:hAnsi="宋体" w:cs="宋体"/>
                <w:szCs w:val="21"/>
              </w:rPr>
              <w:br/>
              <w:t xml:space="preserve">3、巡视频率根据招标文件要求，响应发包人考核</w:t>
            </w:r>
            <w:r>
              <w:rPr>
                <w:rFonts w:hint="eastAsia" w:ascii="宋体" w:hAnsi="宋体" w:cs="宋体"/>
                <w:szCs w:val="21"/>
              </w:rPr>
              <w:br/>
              <w:t xml:space="preserve">4、巡视内容：路面外观变化、结构变化、道路维护作业情况及附属设施等状况，路名牌清洁，做相应记录;</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47069.47</w:t>
            </w:r>
            <w:r/>
          </w:p>
        </w:tc>
      </w:tr>
      <w:tr>
        <w:trPr>
          <w:trHeight w:val="28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0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第二部分 零星维护</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59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90.69</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C20砼基层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2、维护方式：拆除厚度20cm，拆除时不扰动未拆除部分，废料外运弃置；浇筑20cmC20混凝土，养生、清理现场</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217.65</w:t>
            </w:r>
            <w:r>
              <w:rPr>
                <w:rFonts w:hint="eastAsia" w:ascii="宋体" w:hAnsi="宋体" w:cs="宋体"/>
                <w:szCs w:val="21"/>
              </w:rPr>
            </w:r>
            <w:r>
              <w:rPr>
                <w:rFonts w:hint="eastAsia" w:ascii="宋体" w:hAnsi="宋体" w:cs="宋体"/>
                <w:szCs w:val="21"/>
              </w:rPr>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C30砼基层修复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2、维护方式：拆除厚度20cm，拆除时不扰动未拆除部分，废料外运弃置；浇筑20cmC30混凝土，养生、清理现场</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222.22</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2、维护方式：拆除厚度15cm，拆除时不扰动未拆除部分，废料外运弃置；摊铺C30干硬性碾压式混凝土，养生、清理现场</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162.86</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2、维护方式：拆除厚度15cm，拆除时不扰动未拆除部分，废料外运弃置；摊铺C50干硬性碾压式混凝土，养生、清理现场</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181.95</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148.29</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2、维护方式：车行道中粒式沥青砼修复，增加抗车辙剂，剂量为沥青混合料0.3%（质量比）</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8.76</w:t>
            </w:r>
            <w:r/>
          </w:p>
        </w:tc>
      </w:tr>
      <w:tr>
        <w:trPr>
          <w:trHeight w:val="86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1、部位：粘层</w:t>
            </w:r>
            <w:r>
              <w:rPr>
                <w:rFonts w:hint="eastAsia" w:ascii="宋体" w:hAnsi="宋体" w:cs="宋体"/>
                <w:szCs w:val="21"/>
              </w:rPr>
              <w:br/>
              <w:t xml:space="preserve">2、材料品种：乳化沥青</w:t>
            </w:r>
            <w:r>
              <w:rPr>
                <w:rFonts w:hint="eastAsia" w:ascii="宋体" w:hAnsi="宋体" w:cs="宋体"/>
                <w:szCs w:val="21"/>
              </w:rPr>
              <w:br/>
              <w:t xml:space="preserve">3、喷油量：0.8kg/m2</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5.01</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封层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2、维护方式：拆除原沥青封层，拆除废料拆除弃置；重新铺设封层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12.47</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124.14</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车行道细粒式沥青砼AC-13C修复-厚度调整清单</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13.54</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148.27</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车行道沥青玛蹄脂混合料SMA-13修复-厚度调整清单</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16.57</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车行道细粒式沥青砼修复增加SBS改性剂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2、维护方式:车行道细粒式沥青砼修复，增加SBS改性剂</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12.03</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车行道细粒式沥青砼增加抗剥落剂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2、维护方式:车行道细粒式沥青砼修复，增加抗剥落剂，添加量（沥青）0.2%~0.4%(质量比）</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0.41</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车行道细粒式沥青砼增加聚酯纤维</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车行道冷补沥青修复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1、工作量计算规则：按体积以“立方米”计</w:t>
            </w:r>
            <w:r>
              <w:rPr>
                <w:rFonts w:hint="eastAsia" w:ascii="宋体" w:hAnsi="宋体" w:cs="宋体"/>
                <w:szCs w:val="21"/>
              </w:rPr>
              <w:br/>
              <w:t xml:space="preserve">2、维护方式:坑洞清理、冷料沥青填筑坑洞、夯实</w:t>
            </w:r>
            <w:r>
              <w:rPr>
                <w:rFonts w:hint="eastAsia" w:ascii="宋体" w:hAnsi="宋体" w:cs="宋体"/>
                <w:szCs w:val="21"/>
              </w:rPr>
              <w:br/>
              <w:t xml:space="preserve">3、面层材质：冷补沥青混合料</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4262.59</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2、维护方式:拆除厚度5cm沥青砼，拆除废料外运弃置，拆除时不扰动未拆除部分；重新修复路面，大空隙沥青砼灌注高流动性水泥基浆，压实，清理现场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355.87</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车行道彩色陶瓷颗粒防滑路面修复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2、维护方式:路面清扫、刮涂树脂粘结料、撒布陶瓷颗粒、收集多余陶瓷颗粒等 </w:t>
            </w:r>
            <w:r>
              <w:rPr>
                <w:rFonts w:hint="eastAsia" w:ascii="宋体" w:hAnsi="宋体" w:cs="宋体"/>
                <w:szCs w:val="21"/>
              </w:rPr>
              <w:br/>
              <w:t xml:space="preserve">3、面层材质：改性环氧树脂高性能高分子聚合材料5mm</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161.39</w:t>
            </w:r>
            <w:r/>
          </w:p>
        </w:tc>
      </w:tr>
      <w:tr>
        <w:trPr>
          <w:trHeight w:val="86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2、维护方式:安装边缘钢筋、角隅加固钢筋、钢筋网。</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7603.23</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车行道C20快凝混凝土砼坑洞修补</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2、部位：路面坑洞</w:t>
            </w:r>
            <w:r>
              <w:rPr>
                <w:rFonts w:hint="eastAsia" w:ascii="宋体" w:hAnsi="宋体" w:cs="宋体"/>
                <w:szCs w:val="21"/>
              </w:rPr>
              <w:br/>
              <w:t xml:space="preserve">3、修补材料：C20快凝混凝土</w:t>
            </w:r>
            <w:r>
              <w:rPr>
                <w:rFonts w:hint="eastAsia" w:ascii="宋体" w:hAnsi="宋体" w:cs="宋体"/>
                <w:szCs w:val="21"/>
              </w:rPr>
              <w:br/>
              <w:t xml:space="preserve">4、维护方式：凿除、清洗、配料、拌合、浇筑、捣固、养生、清理现场，拆除废料外运弃置</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1834.24</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车行道C20碳纤维速凝混凝土坑洞修补</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2、部位：混凝土坑洞</w:t>
            </w:r>
            <w:r>
              <w:rPr>
                <w:rFonts w:hint="eastAsia" w:ascii="宋体" w:hAnsi="宋体" w:cs="宋体"/>
                <w:szCs w:val="21"/>
              </w:rPr>
              <w:br/>
              <w:t xml:space="preserve">3、修补材料：C20碳纤维速凝混凝土</w:t>
            </w:r>
            <w:r>
              <w:rPr>
                <w:rFonts w:hint="eastAsia" w:ascii="宋体" w:hAnsi="宋体" w:cs="宋体"/>
                <w:szCs w:val="21"/>
              </w:rPr>
              <w:br/>
              <w:t xml:space="preserve">4、维护方式：翻挖、切边、整平、铺筑、振实、抹平、养护、切缝、清理现场，拆除废料外运弃置</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1577.39</w:t>
            </w:r>
            <w:r/>
          </w:p>
        </w:tc>
      </w:tr>
      <w:tr>
        <w:trPr>
          <w:trHeight w:val="115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4.35</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23.76</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21.84</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29.58</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16.14</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11.61</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130.63</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89.51</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112.13</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67.7</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88.41</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167.17</w:t>
            </w:r>
            <w:r/>
          </w:p>
        </w:tc>
      </w:tr>
      <w:tr>
        <w:trPr>
          <w:trHeight w:val="201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现状人行道仿石陶瓷透水砖破损，断裂、破旧部位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200.48</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人行道路面砖修复-库存料</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砼路面砖、砼透水砖等道板松动，错块，凸出，沉陷部位</w:t>
            </w:r>
            <w:r>
              <w:rPr>
                <w:rFonts w:hint="eastAsia" w:ascii="宋体" w:hAnsi="宋体" w:cs="宋体"/>
                <w:szCs w:val="21"/>
              </w:rPr>
              <w:br/>
              <w:t xml:space="preserve">2、工作内容：拆除原有面砖及粘结层；拆除废料清理并运输弃置；3cm干硬性水泥砂浆重新铺设，使用库存料路面砖铺设，含出库、运输</w:t>
            </w:r>
            <w:r>
              <w:rPr>
                <w:rFonts w:hint="eastAsia" w:ascii="宋体" w:hAnsi="宋体" w:cs="宋体"/>
                <w:szCs w:val="21"/>
              </w:rPr>
              <w:br/>
              <w:t xml:space="preserve">3、材料、材质：库存材料</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107.57</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2、工作内容：拆除原有 广场砖及清理，整理归集，用于铺设恢复；拆除废料清理并外运弃置；原垫层找平,3cm干硬性水泥砂浆重新铺设 广场砖，使用原广场砖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120.24</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2、工作内容：对应清单“人行道广场砖面层修复”，旧料外运弃置；使用新购广场砖</w:t>
            </w:r>
            <w:r>
              <w:rPr>
                <w:rFonts w:hint="eastAsia" w:ascii="宋体" w:hAnsi="宋体" w:cs="宋体"/>
                <w:szCs w:val="21"/>
              </w:rPr>
              <w:br/>
              <w:t xml:space="preserve">3、材料、材质：100*100mm广场砖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107.58</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199.43</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293.7</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3、材料、材质：新购4cm金山石石板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1036.7</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243.04</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62.24</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2、工作内容：对应清单“人行道青砖修复”，旧料外运弃置；铺设新购青砖</w:t>
            </w:r>
            <w:r>
              <w:rPr>
                <w:rFonts w:hint="eastAsia" w:ascii="宋体" w:hAnsi="宋体" w:cs="宋体"/>
                <w:szCs w:val="21"/>
              </w:rPr>
              <w:br/>
              <w:t xml:space="preserve">3、材料、材质：4cm厚方形青砖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386.71</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人行道青砖侧铺修复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73.01</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青砖破损，断裂、破旧部位</w:t>
            </w:r>
            <w:r>
              <w:rPr>
                <w:rFonts w:hint="eastAsia" w:ascii="宋体" w:hAnsi="宋体" w:cs="宋体"/>
                <w:szCs w:val="21"/>
              </w:rPr>
              <w:br/>
              <w:t xml:space="preserve">2、工作内容：对应清单“人行道青砖侧铺修复”，旧料外运弃置；铺设新购青砖</w:t>
            </w:r>
            <w:r>
              <w:rPr>
                <w:rFonts w:hint="eastAsia" w:ascii="宋体" w:hAnsi="宋体" w:cs="宋体"/>
                <w:szCs w:val="21"/>
              </w:rPr>
              <w:br/>
              <w:t xml:space="preserve">3、材料、材质：新购青砖21.5*10.5*4cm</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389.66</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2、工作内容：拆除原有植草砖及粘结层，整理归集用于恢复路面；拆除废料清理并运输弃置；原垫层找平,使用原植草砖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48.37</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2、工作内容：对应清单“植草砖块料面层修复”，旧料外运弃置；铺设新购植草砖</w:t>
            </w:r>
            <w:r>
              <w:rPr>
                <w:rFonts w:hint="eastAsia" w:ascii="宋体" w:hAnsi="宋体" w:cs="宋体"/>
                <w:szCs w:val="21"/>
              </w:rPr>
              <w:br/>
              <w:t xml:space="preserve">3、材料、材质：新购植草砖80mm厚植草砖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107.79</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卵石面层修复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1、部位:卵石园路破损，松动、卵石脱离、破旧等部位</w:t>
            </w:r>
            <w:r>
              <w:rPr>
                <w:rFonts w:hint="eastAsia" w:ascii="宋体" w:hAnsi="宋体" w:cs="宋体"/>
                <w:szCs w:val="21"/>
              </w:rPr>
              <w:br/>
              <w:t xml:space="preserve">2、工作内容：拆除原有卵石及粘结层路面，拆除废料清理并运输弃置；重新铺设卵石园路</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178.93</w:t>
            </w:r>
            <w:r/>
          </w:p>
        </w:tc>
      </w:tr>
      <w:tr>
        <w:trPr>
          <w:trHeight w:val="115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仿石陶瓷砖防滑处理</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1、部位:仿石陶瓷砖人行道</w:t>
            </w:r>
            <w:r>
              <w:rPr>
                <w:rFonts w:hint="eastAsia" w:ascii="宋体" w:hAnsi="宋体" w:cs="宋体"/>
                <w:szCs w:val="21"/>
              </w:rPr>
              <w:br/>
              <w:t xml:space="preserve">2、工作内容：清理地面，专用药水涂抹，清理表面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r>
      <w:tr>
        <w:trPr>
          <w:trHeight w:val="115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花岗岩道板防滑处理</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1、部位:花岗岩道板人行道</w:t>
            </w:r>
            <w:r>
              <w:rPr>
                <w:rFonts w:hint="eastAsia" w:ascii="宋体" w:hAnsi="宋体" w:cs="宋体"/>
                <w:szCs w:val="21"/>
              </w:rPr>
              <w:br/>
              <w:t xml:space="preserve">2、工作内容：火烧处理花岗岩石板面，清理表面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20.18</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41.14</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59.25</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44.24</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42.84</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36.99</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47.81</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159.09</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292.28</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30.62</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159.06</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292.27</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40.48</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37.51</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36.58</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78.81</w:t>
            </w:r>
            <w:r/>
          </w:p>
        </w:tc>
      </w:tr>
      <w:tr>
        <w:trPr>
          <w:trHeight w:val="115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安装石球：新购直径50cm花岗岩石球</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1、工作内容：拆除、移除原损坏石球，旧料外运弃置；安砌花岗岩石球（直径50cm），购置，安砌、固定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537.94</w:t>
            </w:r>
            <w:r/>
          </w:p>
        </w:tc>
      </w:tr>
      <w:tr>
        <w:trPr>
          <w:trHeight w:val="115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安装石球：新购直径60cm花岗岩石球</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1、工作内容：拆除、移除原损坏石球，旧料外运弃置；安砌花岗岩石球（直径60cm），购置，安砌、固定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941.39</w:t>
            </w:r>
            <w:r/>
          </w:p>
        </w:tc>
      </w:tr>
      <w:tr>
        <w:trPr>
          <w:trHeight w:val="86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移位石球车挡</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1、工作内容：花岗岩石球车挡，移位，安砌、固定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车阻石</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1、工作内容：购置花岗岩车阻石，φ10cm钢管焊接钢板预埋件安装</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3、材料品种：花岗岩车阻石，D=30cm，高60cm，样式按现场或采购人要求，尺寸不一致，按体积折算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447.5</w:t>
            </w:r>
            <w:r/>
          </w:p>
        </w:tc>
      </w:tr>
      <w:tr>
        <w:trPr>
          <w:trHeight w:val="115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花岗岩车档修复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1、工作内容：花岗岩车档拆除、安装、扶正、连接固定费用</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26.9</w:t>
            </w:r>
            <w:r/>
          </w:p>
        </w:tc>
      </w:tr>
      <w:tr>
        <w:trPr>
          <w:trHeight w:val="86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U型桩修复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1、工作内容：包括隔离桩扶正固定、除锈、涂漆、贴反光膜等所有费用</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透水混凝土</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1、工作内容：拆除原透水砼，拆除料外运弃置，重新浇筑透水砼</w:t>
            </w:r>
            <w:r>
              <w:rPr>
                <w:rFonts w:hint="eastAsia" w:ascii="宋体" w:hAnsi="宋体" w:cs="宋体"/>
                <w:szCs w:val="21"/>
              </w:rPr>
              <w:br/>
              <w:t xml:space="preserve">2、工作量计算规则：按面积以“平方米”计，厚度不一致折算处理</w:t>
            </w:r>
            <w:r>
              <w:rPr>
                <w:rFonts w:hint="eastAsia" w:ascii="宋体" w:hAnsi="宋体" w:cs="宋体"/>
                <w:szCs w:val="21"/>
              </w:rPr>
              <w:br/>
              <w:t xml:space="preserve">3、材料品种：15cm透水砼基础</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195</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拆除刚性路面路基材料</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1、结构形式:刚性路面路基材料，（钢筋砼或砼）综合考虑</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354.51</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拆除半刚性路面路基材料</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1、结构形式:半刚性路面路基材料</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319.09</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树池盖板（箅子）</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1、材质、规格：130*130*3cm厚球墨铸铁树池篦子</w:t>
            </w:r>
            <w:r>
              <w:rPr>
                <w:rFonts w:hint="eastAsia" w:ascii="宋体" w:hAnsi="宋体" w:cs="宋体"/>
                <w:szCs w:val="21"/>
              </w:rPr>
              <w:br/>
              <w:t xml:space="preserve">2、工作内容：拆除、弃置元树池篦子，更换新树池篦子</w:t>
            </w:r>
            <w:r>
              <w:rPr>
                <w:rFonts w:hint="eastAsia" w:ascii="宋体" w:hAnsi="宋体" w:cs="宋体"/>
                <w:szCs w:val="21"/>
              </w:rPr>
              <w:br/>
              <w:t xml:space="preserve">3、工作量计算规则：按套计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874.15</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检查井升降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1、材料品种：砖砌检查井，雨水污水综合考虑，防沉降井盖座850*190（高度190mm)，详见设计，D400级，雨水井盖、污水井盖文字、图案按设计要求</w:t>
            </w:r>
            <w:r>
              <w:rPr>
                <w:rFonts w:hint="eastAsia" w:ascii="宋体" w:hAnsi="宋体" w:cs="宋体"/>
                <w:szCs w:val="21"/>
              </w:rPr>
              <w:br/>
              <w:t xml:space="preserve">2、工作内容：拆除旧窨井、雨水井框盖及升砌砖墙、抹内墙、消除废料,含运弃；安放井框盖，井盖座为更换新防沉降井盖座</w:t>
            </w:r>
            <w:r>
              <w:rPr>
                <w:rFonts w:hint="eastAsia" w:ascii="宋体" w:hAnsi="宋体" w:cs="宋体"/>
                <w:szCs w:val="21"/>
              </w:rPr>
              <w:br/>
              <w:t xml:space="preserve">3、平均升（降）高度：投标人自行考虑</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1723.79</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人工挖土（含外运）</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2、工作内容：人工挖土、抛土、修正底边、边坡</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163.96</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机械挖土（含外运）</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2、工作内容：挖掘机挖土、装车、清理余土、人工配合修整路槽，清理等，含土方运输弃置</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135.33</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1、结构形式:内弯型墨绿色镀锌管烤漆镀锌管，表面烤漆绿化围栏，高1.0米，尺寸不一致按此折算处理</w:t>
            </w:r>
            <w:r>
              <w:rPr>
                <w:rFonts w:hint="eastAsia" w:ascii="宋体" w:hAnsi="宋体" w:cs="宋体"/>
                <w:szCs w:val="21"/>
              </w:rPr>
              <w:br/>
              <w:t xml:space="preserve">2、工作内容：包括基础、围栏安装等所有费用，挖土费不单独计</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280.51</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1、结构形式:现场围挡</w:t>
            </w:r>
            <w:r>
              <w:rPr>
                <w:rFonts w:hint="eastAsia" w:ascii="宋体" w:hAnsi="宋体" w:cs="宋体"/>
                <w:szCs w:val="21"/>
              </w:rPr>
              <w:br/>
              <w:t xml:space="preserve">2、工作内容：2.5米以下，现场绿化围栏固定、连接、扶正等</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17.25</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2、工作内容：开挖基坑，埋置隔离桩，基础固定</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95.46</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2、工作内容：隔离桩扶正固定、除锈、涂漆、贴反光膜等所有费用</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32.33</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回填方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1、结构形式:回填土方</w:t>
            </w:r>
            <w:r>
              <w:rPr>
                <w:rFonts w:hint="eastAsia" w:ascii="宋体" w:hAnsi="宋体" w:cs="宋体"/>
                <w:szCs w:val="21"/>
              </w:rPr>
              <w:br/>
              <w:t xml:space="preserve">2、工作内容：坑槽回填，回填采用素土回填，包括土源</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49.29</w:t>
            </w:r>
            <w:r/>
          </w:p>
        </w:tc>
      </w:tr>
      <w:tr>
        <w:trPr>
          <w:trHeight w:val="316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路名牌新建或整体更换</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1、结构形式:立杆式双面路名牌，含表面贴膜，立杆安装等全套路名牌</w:t>
            </w:r>
            <w:r>
              <w:rPr>
                <w:rFonts w:hint="eastAsia" w:ascii="宋体" w:hAnsi="宋体" w:cs="宋体"/>
                <w:szCs w:val="21"/>
              </w:rPr>
              <w:br/>
              <w:t xml:space="preserve">2、规格、尺寸：126cm*36cm铝板（1.5mm厚），整套路牌喷塑、装配零部件，铝制特型材7cm*3cm,壁厚1.2mm，ABS塑料链接弯头，定做塑料件，70*50*3mm方钢管，除锈镀锌处理、厚8mm底板，配套底座等整套路名牌</w:t>
            </w:r>
            <w:r>
              <w:rPr>
                <w:rFonts w:hint="eastAsia" w:ascii="宋体" w:hAnsi="宋体" w:cs="宋体"/>
                <w:szCs w:val="21"/>
              </w:rPr>
              <w:br/>
              <w:t xml:space="preserve">3、工作内容：含挖土坑，立杆基础、安装路名牌、清理现场等</w:t>
            </w:r>
            <w:r>
              <w:rPr>
                <w:rFonts w:hint="eastAsia" w:ascii="宋体" w:hAnsi="宋体" w:cs="宋体"/>
                <w:szCs w:val="21"/>
              </w:rPr>
              <w:br/>
              <w:t xml:space="preserve">4、工作量计量规则：按套”计算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1770.61</w:t>
            </w:r>
            <w:r/>
          </w:p>
        </w:tc>
      </w:tr>
      <w:tr>
        <w:trPr>
          <w:trHeight w:val="288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路名牌更换(更换牌板）</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1、结构形式:双面路名牌，单面厚度2mm、1250*350 mm</w:t>
            </w:r>
            <w:r>
              <w:rPr>
                <w:rFonts w:hint="eastAsia" w:ascii="宋体" w:hAnsi="宋体" w:cs="宋体"/>
                <w:szCs w:val="21"/>
              </w:rPr>
              <w:br/>
              <w:t xml:space="preserve">2、规格、尺寸：126cm*36cm铝板（1.5mm厚），整套路牌喷塑、装配零部件，铝制特型材7cm*3cm,壁厚1.2mm，ABS塑料链接弯头，定做塑料件等</w:t>
            </w:r>
            <w:r>
              <w:rPr>
                <w:rFonts w:hint="eastAsia" w:ascii="宋体" w:hAnsi="宋体" w:cs="宋体"/>
                <w:szCs w:val="21"/>
              </w:rPr>
              <w:br/>
              <w:t xml:space="preserve">3、工作内容：拆除原损坏路名牌，更换新路名牌</w:t>
            </w:r>
            <w:r>
              <w:rPr>
                <w:rFonts w:hint="eastAsia" w:ascii="宋体" w:hAnsi="宋体" w:cs="宋体"/>
                <w:szCs w:val="21"/>
              </w:rPr>
              <w:br/>
              <w:t xml:space="preserve">4、工作量计量规则：按个数以“块”计算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1546.86</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路名牌贴膜</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1、结构形式:双面路名牌，更新表面膜，底膜采用反光膜（超强级）、字膜采用方光膜（超强级）</w:t>
            </w:r>
            <w:r>
              <w:rPr>
                <w:rFonts w:hint="eastAsia" w:ascii="宋体" w:hAnsi="宋体" w:cs="宋体"/>
                <w:szCs w:val="21"/>
              </w:rPr>
              <w:br/>
              <w:t xml:space="preserve">2、工作内容：清除路名牌表面旧贴膜，重新贴面</w:t>
            </w:r>
            <w:r>
              <w:rPr>
                <w:rFonts w:hint="eastAsia" w:ascii="宋体" w:hAnsi="宋体" w:cs="宋体"/>
                <w:szCs w:val="21"/>
              </w:rPr>
              <w:br/>
              <w:t xml:space="preserve">3、工作量计量规则：按个数以“块”计算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174.83</w:t>
            </w:r>
            <w:r/>
          </w:p>
        </w:tc>
      </w:tr>
      <w:tr>
        <w:trPr>
          <w:trHeight w:val="86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路名牌除锈、油漆、加固</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2、工作内容：路名牌除锈，油漆、加固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94.44</w:t>
            </w:r>
            <w:r/>
          </w:p>
        </w:tc>
      </w:tr>
      <w:tr>
        <w:trPr>
          <w:trHeight w:val="86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路名牌除锈、加固</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78.75</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路名牌更换立杆</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1、结构形式:现状路名牌，单根70*50*3mm方钢管立杆，表面防锈烤漆，立柱高2米</w:t>
            </w:r>
            <w:r>
              <w:rPr>
                <w:rFonts w:hint="eastAsia" w:ascii="宋体" w:hAnsi="宋体" w:cs="宋体"/>
                <w:szCs w:val="21"/>
              </w:rPr>
              <w:br/>
              <w:t xml:space="preserve">2、工作内容：更换路名牌立杆</w:t>
            </w:r>
            <w:r>
              <w:rPr>
                <w:rFonts w:hint="eastAsia" w:ascii="宋体" w:hAnsi="宋体" w:cs="宋体"/>
                <w:szCs w:val="21"/>
              </w:rPr>
              <w:br/>
              <w:t xml:space="preserve">3、工作量计量规则：按个以“根”计算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266.57</w:t>
            </w:r>
            <w:r/>
          </w:p>
        </w:tc>
      </w:tr>
      <w:tr>
        <w:trPr>
          <w:trHeight w:val="57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热熔标线</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1、材料品种：热熔标线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r>
      <w:tr>
        <w:trPr>
          <w:trHeight w:val="57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常温标线</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1、材料品种：常温标线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24.21</w:t>
            </w:r>
            <w:r/>
          </w:p>
        </w:tc>
      </w:tr>
      <w:tr>
        <w:trPr>
          <w:trHeight w:val="28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清除标线</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1、清除方法：综合考虑</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80.69</w:t>
            </w:r>
            <w:r/>
          </w:p>
        </w:tc>
      </w:tr>
      <w:tr>
        <w:trPr>
          <w:trHeight w:val="115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防滑条</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1、规格、材质：防滑铜条 3×40×1mm</w:t>
            </w:r>
            <w:r>
              <w:rPr>
                <w:rFonts w:hint="eastAsia" w:ascii="宋体" w:hAnsi="宋体" w:cs="宋体"/>
                <w:szCs w:val="21"/>
              </w:rPr>
              <w:br/>
              <w:t xml:space="preserve">2、工作内容：拆除原台阶金属防滑条，更换新防滑条</w:t>
            </w:r>
            <w:r>
              <w:rPr>
                <w:rFonts w:hint="eastAsia" w:ascii="宋体" w:hAnsi="宋体" w:cs="宋体"/>
                <w:szCs w:val="21"/>
              </w:rPr>
              <w:br/>
              <w:t xml:space="preserve">3、工作量计算规则：按米计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479.34</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附着式标志牌</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2、材质、规格尺寸：圆形、三角形、矩形标志牌等，报价包括使用、维护</w:t>
            </w:r>
            <w:r>
              <w:rPr>
                <w:rFonts w:hint="eastAsia" w:ascii="宋体" w:hAnsi="宋体" w:cs="宋体"/>
                <w:szCs w:val="21"/>
              </w:rPr>
            </w:r>
            <w:r>
              <w:rPr>
                <w:rFonts w:hint="eastAsia" w:ascii="宋体" w:hAnsi="宋体" w:cs="宋体"/>
                <w:szCs w:val="21"/>
              </w:rPr>
            </w:r>
            <w:r/>
          </w:p>
          <w:p>
            <w:pPr>
              <w:rPr>
                <w:rFonts w:hint="eastAsia" w:ascii="宋体" w:hAnsi="宋体" w:cs="宋体"/>
              </w:rPr>
            </w:pPr>
            <w:r>
              <w:rPr>
                <w:rFonts w:hint="eastAsia" w:ascii="宋体" w:hAnsi="宋体" w:cs="宋体"/>
                <w:szCs w:val="21"/>
              </w:rPr>
              <w:t xml:space="preserve">、损耗等费用，材料残值归服务人。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w:t>
            </w: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389.77</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支架式标志牌</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2、材质、规格尺寸：160*140cm标志牌，报价包括使用、维护、损耗等费用，材料残值归服务人。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4、工作量计算规则：按“块”计，尺寸不一按面积折算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403.45</w:t>
            </w:r>
            <w:r/>
          </w:p>
        </w:tc>
      </w:tr>
      <w:tr>
        <w:trPr>
          <w:trHeight w:val="57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计日工</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按工日计，每个工日8个小时，不足8个小时折算工日</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工日</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172.14</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栏杆（更新）</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3、工作内容：拆除原破损栏凳，清理现场，废料弃置，材料残值归服务人</w:t>
            </w:r>
            <w:r>
              <w:rPr>
                <w:rFonts w:hint="eastAsia" w:ascii="宋体" w:hAnsi="宋体" w:cs="宋体"/>
                <w:szCs w:val="21"/>
              </w:rPr>
              <w:br/>
              <w:t xml:space="preserve">4、工作量计算规则：按花岗岩体积以“立方米”计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6495.92</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栏杆（维修）</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3、工作内容：破损栏凳维修，松动脱落部位粘结加固</w:t>
            </w:r>
            <w:r>
              <w:rPr>
                <w:rFonts w:hint="eastAsia" w:ascii="宋体" w:hAnsi="宋体" w:cs="宋体"/>
                <w:szCs w:val="21"/>
              </w:rPr>
              <w:br/>
              <w:t xml:space="preserve">4、工作量计算规则：按栏凳长度以“米”计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256.66</w:t>
            </w:r>
            <w:r/>
          </w:p>
        </w:tc>
      </w:tr>
      <w:tr>
        <w:trPr>
          <w:trHeight w:val="86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104</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设施维护手续办理费用</w:t>
            </w:r>
            <w:r/>
          </w:p>
        </w:tc>
        <w:tc>
          <w:tcPr>
            <w:tcBorders>
              <w:top w:val="none" w:color="000000" w:sz="4" w:space="0"/>
              <w:left w:val="none" w:color="000000" w:sz="4" w:space="0"/>
              <w:bottom w:val="single" w:color="auto" w:sz="4" w:space="0"/>
              <w:right w:val="single" w:color="auto"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1、用于因设施维护并按采购人要求进行绿化迁移、管线迁移等产生的费用</w:t>
            </w:r>
            <w:r>
              <w:rPr>
                <w:rFonts w:hint="eastAsia" w:ascii="宋体" w:hAnsi="宋体" w:cs="宋体"/>
                <w:szCs w:val="21"/>
              </w:rPr>
              <w:br/>
              <w:t xml:space="preserve">2、</w:t>
            </w:r>
            <w:r>
              <w:rPr>
                <w:rFonts w:hint="eastAsia" w:ascii="宋体" w:hAnsi="宋体" w:cs="宋体"/>
                <w:b/>
                <w:bCs/>
                <w:szCs w:val="21"/>
              </w:rPr>
              <w:t xml:space="preserve">不可竞争</w:t>
            </w:r>
            <w:r>
              <w:rPr>
                <w:rFonts w:hint="eastAsia" w:ascii="宋体" w:hAnsi="宋体" w:cs="宋体"/>
                <w:szCs w:val="21"/>
              </w:rPr>
              <w:t xml:space="preserve">，按实结算</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r>
      <w:tr>
        <w:trPr>
          <w:trHeight w:val="28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0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第三部分 专项维护</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575"/>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车行道水泥稳定碎石摊铺</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2、水泥稳定碎石厚：20cm水泥稳定碎石</w:t>
            </w:r>
            <w:r>
              <w:rPr>
                <w:rFonts w:hint="eastAsia" w:ascii="宋体" w:hAnsi="宋体" w:cs="宋体"/>
                <w:szCs w:val="21"/>
              </w:rPr>
              <w:br/>
              <w:t xml:space="preserve">2、维护内容：拆除20cm原水泥稳定碎石基层，废料外运弃置；拆除时不扰动未拆除部分；摊铺水泥稳定碎石，水泥剂量4%，覆盖养生</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134.3</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C20混凝土基层修复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2、厚度：20cmC20砼基层</w:t>
            </w:r>
            <w:r>
              <w:rPr>
                <w:rFonts w:hint="eastAsia" w:ascii="宋体" w:hAnsi="宋体" w:cs="宋体"/>
                <w:szCs w:val="21"/>
              </w:rPr>
              <w:br/>
              <w:t xml:space="preserve">3、维护内容：拆除20cm原混凝土面层，废料外运弃置；拆除时不扰动未拆除部分；浇筑C20水泥混凝土，覆盖养生</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163.14</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C30混凝土基层修复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2、厚度：20cmC30砼基层</w:t>
            </w:r>
            <w:r>
              <w:rPr>
                <w:rFonts w:hint="eastAsia" w:ascii="宋体" w:hAnsi="宋体" w:cs="宋体"/>
                <w:szCs w:val="21"/>
              </w:rPr>
              <w:br/>
              <w:t xml:space="preserve">3、维护内容：拆除20cm原混凝土面层，废料外运弃置；拆除时不扰动未拆除部分；浇筑C30水泥混凝土，覆盖养生</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166.94</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2、厚度：15cm干硬性碾压式C30砼</w:t>
            </w:r>
            <w:r>
              <w:rPr>
                <w:rFonts w:hint="eastAsia" w:ascii="宋体" w:hAnsi="宋体" w:cs="宋体"/>
                <w:szCs w:val="21"/>
              </w:rPr>
              <w:br/>
              <w:t xml:space="preserve">3、维护内容：拆除厚度15cm，废料外运弃置；拆除时不扰动未拆除部分；摊铺C30干硬性碾压式混凝土，养生、清理现场</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117.91</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2、厚度：15cm干硬性碾压式C50砼</w:t>
            </w:r>
            <w:r>
              <w:rPr>
                <w:rFonts w:hint="eastAsia" w:ascii="宋体" w:hAnsi="宋体" w:cs="宋体"/>
                <w:szCs w:val="21"/>
              </w:rPr>
              <w:br/>
              <w:t xml:space="preserve">3、维护内容：拆除厚度15cm，废料外运弃置；拆除时不扰动未拆除部分；摊铺C50干硬性碾压式混凝土，养生、清理现场</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133.92</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2、维护方式：铣刨厚度6cm沥青砼，拆除时不扰动未拆除部分；重新修复沥青砼路面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84.56</w:t>
            </w:r>
            <w:r/>
          </w:p>
        </w:tc>
      </w:tr>
      <w:tr>
        <w:trPr>
          <w:trHeight w:val="180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2、维护方式：车行道中粒式沥青砼修复，增加抗车辙剂，添加量0.2~0.4%（质量比）</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6.51</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77.18</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沥青砼AC-13C修复-厚度调整清单</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9.91</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沥青玛蹄脂碎石SMA-13修复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88.69</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沥青玛蹄脂混合料SMA-13修复-厚度调整清单</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11.35</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沥青砼修复-增加SBS改性剂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2、维护方式：对应清单“车行道细粒式沥青砼AC-13C修复”或“沥青玛蹄脂碎石SMA-13修复”，细粒式沥青砼AC-13C修复，增加SBS改性剂</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沥青砼修复-增加抗剥落剂</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2、维护方式：对应清单“车行道细粒式沥青砼AC-13C修复”或“沥青玛蹄脂碎石SMA-13修复”，增加抗剥落剂，添加量（沥青）0.2%~0.4%(质量比）</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0.33</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沥青砼修复-增加聚酯纤维</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5.09</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车行道封层修复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10.01</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2、维护方式:拆除厚度5cm沥青砼，拆除时不扰动未拆除部分,拆除废料外运弃置；重新修复路面，大空隙沥青砼关注高流动性水泥基浆，压实，清理现场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266.93</w:t>
            </w:r>
            <w:r/>
          </w:p>
        </w:tc>
      </w:tr>
      <w:tr>
        <w:trPr>
          <w:trHeight w:val="115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3.47</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21.39</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2、维护内容：清扫路基，运油、加热、洒布机（人工手泵）喷油、移动挡板（或遮盖物）保护侧缘石</w:t>
            </w:r>
            <w:r>
              <w:rPr>
                <w:rFonts w:hint="eastAsia" w:ascii="宋体" w:hAnsi="宋体" w:cs="宋体"/>
                <w:szCs w:val="21"/>
              </w:rPr>
              <w:br/>
              <w:t xml:space="preserve">3、面层材质：0.8kg/m2乳化沥青</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4.16</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25.57</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15.56</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8.12</w:t>
            </w:r>
            <w:r/>
          </w:p>
        </w:tc>
      </w:tr>
      <w:tr>
        <w:trPr>
          <w:trHeight w:val="115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2、维护内容：钢筋除锈， 安装角隅加固钢筋、钢筋网</w:t>
            </w:r>
            <w:r>
              <w:rPr>
                <w:rFonts w:hint="eastAsia" w:ascii="宋体" w:hAnsi="宋体" w:cs="宋体"/>
                <w:szCs w:val="21"/>
              </w:rPr>
              <w:br/>
              <w:t xml:space="preserve">3、面层材质：HRB400钢筋</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6446.74</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135.03</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88.45</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101.54</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40.95</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71.57</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129.73</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160.12</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72.66</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150.7</w:t>
            </w:r>
            <w:r/>
          </w:p>
        </w:tc>
      </w:tr>
      <w:tr>
        <w:trPr>
          <w:trHeight w:val="2592"/>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230.78</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190.66</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34.62</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62.16</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38.82</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21.52</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52.11</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32.23</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40.81</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135.84</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3、材料、材质：新购30*12.5*100cm花岗岩侧石(圆弧形）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r>
      <w:tr>
        <w:trPr>
          <w:trHeight w:val="1440"/>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25.2</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138.2</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22.9</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66.25</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30.02</w:t>
            </w:r>
            <w:r/>
          </w:p>
        </w:tc>
      </w:tr>
      <w:tr>
        <w:trPr>
          <w:trHeight w:val="2016"/>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32.32</w:t>
            </w:r>
            <w:r/>
          </w:p>
        </w:tc>
      </w:tr>
      <w:tr>
        <w:trPr>
          <w:trHeight w:val="230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雨水口新砌</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1、雨水箅子及圈口材质、型号、规格：350*550球墨铸铁雨水井蓖座</w:t>
            </w:r>
            <w:r>
              <w:rPr>
                <w:rFonts w:hint="eastAsia" w:ascii="宋体" w:hAnsi="宋体" w:cs="宋体"/>
                <w:szCs w:val="21"/>
              </w:rPr>
              <w:br/>
              <w:t xml:space="preserve">2、垫层、基础材质及厚度：碎石垫层，C25混凝土基础</w:t>
            </w:r>
            <w:r>
              <w:rPr>
                <w:rFonts w:hint="eastAsia" w:ascii="宋体" w:hAnsi="宋体" w:cs="宋体"/>
                <w:szCs w:val="21"/>
              </w:rPr>
              <w:br/>
              <w:t xml:space="preserve">3、砌筑材料品种、规格：MU10水泥砂浆砖砌MU10砖</w:t>
            </w:r>
            <w:r>
              <w:rPr>
                <w:rFonts w:hint="eastAsia" w:ascii="宋体" w:hAnsi="宋体" w:cs="宋体"/>
                <w:szCs w:val="21"/>
              </w:rPr>
              <w:br/>
              <w:t xml:space="preserve">4、砂浆强度等级及配合比：1：2水泥砂浆抹面</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1398.5</w:t>
            </w:r>
            <w:r/>
          </w:p>
        </w:tc>
      </w:tr>
      <w:tr>
        <w:trPr>
          <w:trHeight w:val="864"/>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执勤费</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1、工作量计算规则：以“人*月”为单位，费用自行测算， 按实际数量结算</w:t>
            </w:r>
            <w:r>
              <w:rPr>
                <w:rFonts w:hint="eastAsia" w:ascii="宋体" w:hAnsi="宋体" w:cs="宋体"/>
                <w:szCs w:val="21"/>
              </w:rPr>
              <w:br/>
              <w:t xml:space="preserve">2、维护内容：交通执勤</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人*月</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4500</w:t>
            </w:r>
            <w:r/>
          </w:p>
        </w:tc>
      </w:tr>
      <w:tr>
        <w:trPr>
          <w:trHeight w:val="1728"/>
        </w:trPr>
        <w:tc>
          <w:tcPr>
            <w:tcBorders>
              <w:top w:val="none" w:color="000000" w:sz="4" w:space="0"/>
              <w:left w:val="single" w:color="000000" w:sz="8" w:space="0"/>
              <w:bottom w:val="single" w:color="000000" w:sz="4" w:space="0"/>
              <w:right w:val="single" w:color="000000"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固定围挡</w:t>
            </w:r>
            <w:r/>
          </w:p>
        </w:tc>
        <w:tc>
          <w:tcPr>
            <w:tcBorders>
              <w:top w:val="none" w:color="000000" w:sz="4" w:space="0"/>
              <w:left w:val="none" w:color="000000" w:sz="4" w:space="0"/>
              <w:bottom w:val="single" w:color="000000" w:sz="4" w:space="0"/>
              <w:right w:val="single" w:color="000000"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1、工作量计算规则：按长以“米”计</w:t>
            </w:r>
            <w:r>
              <w:rPr>
                <w:rFonts w:hint="eastAsia" w:ascii="宋体" w:hAnsi="宋体" w:cs="宋体"/>
                <w:szCs w:val="21"/>
              </w:rPr>
              <w:br/>
              <w:t xml:space="preserve">2、维护内容：安装高标准围挡、维护、维修围挡、拆除围挡，含喷淋、公益广告、宣传布告、绿挂等</w:t>
            </w:r>
            <w:r>
              <w:rPr>
                <w:rFonts w:hint="eastAsia" w:ascii="宋体" w:hAnsi="宋体" w:cs="宋体"/>
                <w:szCs w:val="21"/>
              </w:rPr>
              <w:br/>
              <w:t xml:space="preserve">3、材质：围挡规格满足苏州市区相关规定及采购人要求</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325.38</w:t>
            </w:r>
            <w:r/>
          </w:p>
        </w:tc>
      </w:tr>
      <w:tr>
        <w:trPr>
          <w:trHeight w:val="300"/>
        </w:trPr>
        <w:tc>
          <w:tcPr>
            <w:tcBorders>
              <w:top w:val="none" w:color="000000" w:sz="4" w:space="0"/>
              <w:left w:val="single" w:color="auto" w:sz="4" w:space="0"/>
              <w:bottom w:val="single" w:color="auto" w:sz="4" w:space="0"/>
              <w:right w:val="single" w:color="auto"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auto" w:sz="4" w:space="0"/>
              <w:left w:val="none" w:color="000000" w:sz="4" w:space="0"/>
              <w:bottom w:val="single" w:color="auto" w:sz="4" w:space="0"/>
              <w:right w:val="single" w:color="auto" w:sz="4" w:space="0"/>
            </w:tcBorders>
            <w:tcW w:w="560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第四部分 应急管理费</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auto" w:sz="4" w:space="0"/>
              <w:bottom w:val="single" w:color="auto" w:sz="4" w:space="0"/>
              <w:right w:val="single" w:color="auto" w:sz="4" w:space="0"/>
            </w:tcBorders>
            <w:tcW w:w="8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rPr>
                <w:rFonts w:hint="eastAsia" w:ascii="宋体" w:hAnsi="宋体" w:cs="宋体"/>
                <w:szCs w:val="21"/>
              </w:rPr>
            </w:pPr>
            <w:r>
              <w:rPr>
                <w:rFonts w:hint="eastAsia" w:ascii="宋体" w:hAnsi="宋体" w:cs="宋体"/>
                <w:szCs w:val="21"/>
              </w:rPr>
              <w:t xml:space="preserve">应急管理费</w:t>
            </w:r>
            <w:r/>
          </w:p>
        </w:tc>
        <w:tc>
          <w:tcPr>
            <w:tcBorders>
              <w:top w:val="none" w:color="000000" w:sz="4" w:space="0"/>
              <w:left w:val="none" w:color="000000" w:sz="4" w:space="0"/>
              <w:bottom w:val="single" w:color="auto" w:sz="4" w:space="0"/>
              <w:right w:val="single" w:color="auto" w:sz="4" w:space="0"/>
            </w:tcBorders>
            <w:tcW w:w="4000" w:type="dxa"/>
            <w:vAlign w:val="center"/>
            <w:textDirection w:val="lrTb"/>
            <w:noWrap w:val="false"/>
          </w:tcPr>
          <w:p>
            <w:pPr>
              <w:rPr>
                <w:rFonts w:hint="eastAsia" w:ascii="宋体" w:hAnsi="宋体" w:cs="宋体"/>
                <w:szCs w:val="21"/>
              </w:rPr>
            </w:pPr>
            <w:r>
              <w:rPr>
                <w:rFonts w:hint="eastAsia" w:ascii="宋体" w:hAnsi="宋体" w:cs="宋体"/>
                <w:szCs w:val="21"/>
              </w:rPr>
              <w:t xml:space="preserve">雨季、冰冻季和台风暴雨等灾害性天气气候的养护值班及应急处理；紧急、特殊情况的应急处理，应急演练、临时安排等（以招标文件及采购人要求为准）</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371"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r>
      <w:tr>
        <w:trPr>
          <w:trHeight w:val="708"/>
        </w:trPr>
        <w:tc>
          <w:tcPr>
            <w:gridSpan w:val="5"/>
            <w:tcBorders>
              <w:top w:val="single" w:color="auto" w:sz="4" w:space="0"/>
              <w:left w:val="single" w:color="auto" w:sz="4" w:space="0"/>
              <w:bottom w:val="single" w:color="auto" w:sz="4" w:space="0"/>
              <w:right w:val="single" w:color="auto" w:sz="4" w:space="0"/>
            </w:tcBorders>
            <w:tcW w:w="808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val="false"/>
          </w:tcPr>
          <w:p>
            <w:pPr>
              <w:jc w:val="right"/>
              <w:rPr>
                <w:rFonts w:hint="eastAsia" w:ascii="宋体" w:hAnsi="宋体" w:cs="宋体"/>
                <w:szCs w:val="21"/>
              </w:rPr>
            </w:pPr>
            <w:r>
              <w:rPr>
                <w:rFonts w:ascii="宋体" w:hAnsi="宋体" w:cs="宋体"/>
                <w:szCs w:val="21"/>
              </w:rPr>
              <w:t xml:space="preserve">35399933.9</w:t>
            </w:r>
            <w:r>
              <w:rPr>
                <w:rFonts w:hint="eastAsia" w:ascii="宋体" w:hAnsi="宋体" w:cs="宋体"/>
                <w:szCs w:val="21"/>
              </w:rPr>
              <w:t xml:space="preserve">0</w:t>
            </w:r>
            <w:r/>
          </w:p>
        </w:tc>
      </w:tr>
    </w:tbl>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注：包含人行道、车行道、平侧石、路名牌及其他道路附属设施；</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第二标段：2026-2027年度市政设施维护服务项目（道路2标）</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项目实施范围包括：白洋湾街道、虎丘街道环古城河以外区域等范围道路，其中北环西路东至广济路口（含路口），包括西园路、虎丘路、虎池路、藕前路、虎泉路等道路，车行道面积约160.87万平方米，人行道面积约37.47万平方米。其中养护等级I等的道路总长约47777米，设施量为车行道约1347645.66平方米，人行道约306775.71平方米，平侧石约436896.45米；养护等级II等的道路总长约13120米，设施量为车行道约261046.97平方米，人行道约62171平方米，平侧石约67904米。</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清单内容：</w:t>
      </w:r>
      <w:r/>
    </w:p>
    <w:tbl>
      <w:tblPr>
        <w:tblW w:w="9420" w:type="dxa"/>
        <w:tblLook w:val="04A0" w:firstRow="1" w:lastRow="0" w:firstColumn="1" w:lastColumn="0" w:noHBand="0" w:noVBand="1"/>
      </w:tblPr>
      <w:tblGrid>
        <w:gridCol w:w="815"/>
        <w:gridCol w:w="1562"/>
        <w:gridCol w:w="4013"/>
        <w:gridCol w:w="813"/>
        <w:gridCol w:w="846"/>
        <w:gridCol w:w="1371"/>
      </w:tblGrid>
      <w:tr>
        <w:trPr>
          <w:trHeight w:val="1040"/>
        </w:trPr>
        <w:tc>
          <w:tcPr>
            <w:tcBorders>
              <w:top w:val="single" w:color="000000" w:sz="8"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000000" w:sz="8" w:space="0"/>
              <w:left w:val="single" w:color="000000" w:sz="4" w:space="0"/>
              <w:bottom w:val="single" w:color="000000" w:sz="4" w:space="0"/>
              <w:right w:val="single" w:color="000000" w:sz="4" w:space="0"/>
            </w:tcBorders>
            <w:tcW w:w="1574"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项目名称</w:t>
            </w:r>
            <w:r/>
          </w:p>
        </w:tc>
        <w:tc>
          <w:tcPr>
            <w:tcBorders>
              <w:top w:val="single" w:color="000000" w:sz="8" w:space="0"/>
              <w:left w:val="single" w:color="000000" w:sz="4" w:space="0"/>
              <w:bottom w:val="single" w:color="000000" w:sz="4" w:space="0"/>
              <w:right w:val="single" w:color="000000" w:sz="4" w:space="0"/>
            </w:tcBorders>
            <w:tcW w:w="4045"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项目描述</w:t>
            </w:r>
            <w:r/>
          </w:p>
        </w:tc>
        <w:tc>
          <w:tcPr>
            <w:tcBorders>
              <w:top w:val="single" w:color="000000" w:sz="8" w:space="0"/>
              <w:left w:val="single" w:color="000000" w:sz="4" w:space="0"/>
              <w:bottom w:val="single" w:color="000000" w:sz="4" w:space="0"/>
              <w:right w:val="single" w:color="auto" w:sz="4" w:space="0"/>
            </w:tcBorders>
            <w:tcW w:w="81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最高限价单价/元</w:t>
            </w:r>
            <w:r/>
          </w:p>
        </w:tc>
      </w:tr>
      <w:tr>
        <w:trPr>
          <w:trHeight w:val="28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第一部分 巡视</w:t>
            </w:r>
            <w:r/>
          </w:p>
        </w:tc>
        <w:tc>
          <w:tcPr>
            <w:tcBorders>
              <w:top w:val="none" w:color="000000" w:sz="4" w:space="0"/>
              <w:left w:val="none" w:color="000000" w:sz="4" w:space="0"/>
              <w:bottom w:val="single" w:color="000000" w:sz="4" w:space="0"/>
              <w:right w:val="single" w:color="auto"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03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日常巡视（标段2）</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1、工作量计算规则：以“月”为单位，费用自行测算， 按报价结合考核结算</w:t>
            </w:r>
            <w:r>
              <w:rPr>
                <w:rFonts w:hint="eastAsia" w:ascii="宋体" w:hAnsi="宋体" w:cs="宋体"/>
                <w:szCs w:val="21"/>
              </w:rPr>
              <w:br/>
              <w:t xml:space="preserve">2、维护内容：专用巡视车辆（含驾驶人员）对区域范围内市政道路及设施进行日常巡视；专职道路管理人员或养护技术人员对道路（含人行道）及附属设施进行巡视</w:t>
            </w:r>
            <w:r>
              <w:rPr>
                <w:rFonts w:hint="eastAsia" w:ascii="宋体" w:hAnsi="宋体" w:cs="宋体"/>
                <w:szCs w:val="21"/>
              </w:rPr>
              <w:br/>
              <w:t xml:space="preserve">3、巡视频率根据招标文件要求，响应发包人考核</w:t>
            </w:r>
            <w:r>
              <w:rPr>
                <w:rFonts w:hint="eastAsia" w:ascii="宋体" w:hAnsi="宋体" w:cs="宋体"/>
                <w:szCs w:val="21"/>
              </w:rPr>
              <w:br/>
              <w:t xml:space="preserve">4、巡视内容：路面外观变化、结构变</w:t>
            </w:r>
            <w:r>
              <w:rPr>
                <w:rFonts w:hint="eastAsia" w:ascii="宋体" w:hAnsi="宋体" w:cs="宋体"/>
                <w:szCs w:val="21"/>
              </w:rPr>
              <w:t xml:space="preserve">化、道路维护作业情况及附属设施等状况，路名牌清洁，做相应记录;</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single" w:color="auto"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single" w:color="auto"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34965.89</w:t>
            </w:r>
            <w:r/>
          </w:p>
        </w:tc>
      </w:tr>
      <w:tr>
        <w:trPr>
          <w:trHeight w:val="28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第二部分 零星维护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90.69</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C20砼基层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2、维护方式：拆除厚度20cm，拆除时不扰动未拆除部分，废料外运弃置；浇筑20cmC20混凝土，养生、清理现场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217.65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C30砼基层修复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2、维护方式：拆除厚度20cm，拆除时不扰动未拆除部分，废料外运弃置；浇筑20cmC30混凝土，养生、清理现场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222.22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2、维护方式：拆除厚度15cm，拆除时不扰动未拆除部分，废料外运弃置；摊铺C30干硬性碾压式混凝土，养生、清理现场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162.86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2、维护方式：拆除厚度15cm，拆除时不扰动未拆除部分，废料外运弃置；摊铺C50干硬性碾压式混凝土，养生、清理现场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181.95</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2、维护方式：车行道中粒式沥青砼修复，增加抗车辙剂，剂量为沥青混合料0.3%（质量比）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8.76</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1、部位：粘层</w:t>
            </w:r>
            <w:r>
              <w:rPr>
                <w:rFonts w:hint="eastAsia" w:ascii="宋体" w:hAnsi="宋体" w:cs="宋体"/>
                <w:szCs w:val="21"/>
              </w:rPr>
              <w:br/>
              <w:t xml:space="preserve">2、材料品种：乳化沥青</w:t>
            </w:r>
            <w:r>
              <w:rPr>
                <w:rFonts w:hint="eastAsia" w:ascii="宋体" w:hAnsi="宋体" w:cs="宋体"/>
                <w:szCs w:val="21"/>
              </w:rPr>
              <w:br/>
              <w:t xml:space="preserve">3、喷油量：0.8kg/m2</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封层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2、维护方式：拆除原沥青封层，拆除废料拆除弃置；重新铺设封层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12.47</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33000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124.14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车行道细粒式沥青砼AC-13C修复-厚度调整清单</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66000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148.27</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车行道沥青玛蹄脂混合料SMA-13修复-厚度调整清单</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16.57</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车行道细粒式沥青砼修复增加SBS改性剂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2、维护方式:车行道细粒式沥青砼修复，增加SBS改性剂</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33000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12.03</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车行道细粒式沥青砼增加抗剥落剂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2、维护方式:车行道细粒式沥青砼修复，增加抗剥落剂，添加量（沥青）0.2%~0.4%(质量比）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33000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0.41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车行道细粒式沥青砼增加聚酯纤维</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33000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车行道冷补沥青修复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1、工作量计算规则：按体积以“立方米”计</w:t>
            </w:r>
            <w:r>
              <w:rPr>
                <w:rFonts w:hint="eastAsia" w:ascii="宋体" w:hAnsi="宋体" w:cs="宋体"/>
                <w:szCs w:val="21"/>
              </w:rPr>
              <w:br/>
              <w:t xml:space="preserve">2、维护方式:坑洞清理、冷料沥青填筑坑洞、夯实</w:t>
            </w:r>
            <w:r>
              <w:rPr>
                <w:rFonts w:hint="eastAsia" w:ascii="宋体" w:hAnsi="宋体" w:cs="宋体"/>
                <w:szCs w:val="21"/>
              </w:rPr>
              <w:br/>
              <w:t xml:space="preserve">3、面层材质：冷补沥青混合料</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4262.59</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2、维护方式:拆除厚度5cm沥青砼，拆除废料外运弃置，拆除时不扰动未拆除部分；重新修复路面，大空隙沥青砼灌注高流动性水泥基浆，压实，清理现场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355.87</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车行道彩色陶瓷颗粒防滑路面修复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2、维护方式:路面清扫、刮涂树脂粘结料、撒布陶瓷颗粒、收集多余陶瓷颗粒等 </w:t>
            </w:r>
            <w:r>
              <w:rPr>
                <w:rFonts w:hint="eastAsia" w:ascii="宋体" w:hAnsi="宋体" w:cs="宋体"/>
                <w:szCs w:val="21"/>
              </w:rPr>
              <w:br/>
              <w:t xml:space="preserve">3、面层材质：改性环氧树脂高性能高分子聚合材料5mm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161.39</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2、维护方式:安装边缘钢筋、角隅加固钢筋、钢筋网。</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7603.23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车行道C20快凝混凝土砼坑洞修补</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2、部位：路面坑洞</w:t>
            </w:r>
            <w:r>
              <w:rPr>
                <w:rFonts w:hint="eastAsia" w:ascii="宋体" w:hAnsi="宋体" w:cs="宋体"/>
                <w:szCs w:val="21"/>
              </w:rPr>
              <w:br/>
              <w:t xml:space="preserve">3、修补材料：C20快凝混凝土</w:t>
            </w:r>
            <w:r>
              <w:rPr>
                <w:rFonts w:hint="eastAsia" w:ascii="宋体" w:hAnsi="宋体" w:cs="宋体"/>
                <w:szCs w:val="21"/>
              </w:rPr>
              <w:br/>
              <w:t xml:space="preserve">4、维护方式：凿除、清洗、配料、拌合、浇筑、捣固、养生、清理现场，拆除废料外运弃置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1834.24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车行道C20碳纤维速凝混凝土坑洞修补</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2、部位：混凝土坑洞</w:t>
            </w:r>
            <w:r>
              <w:rPr>
                <w:rFonts w:hint="eastAsia" w:ascii="宋体" w:hAnsi="宋体" w:cs="宋体"/>
                <w:szCs w:val="21"/>
              </w:rPr>
              <w:br/>
              <w:t xml:space="preserve">3、修补材料：C20碳纤维速凝混凝土</w:t>
            </w:r>
            <w:r>
              <w:rPr>
                <w:rFonts w:hint="eastAsia" w:ascii="宋体" w:hAnsi="宋体" w:cs="宋体"/>
                <w:szCs w:val="21"/>
              </w:rPr>
              <w:br/>
              <w:t xml:space="preserve">4、维护方式：翻挖、切边、整平、铺筑、振实、抹平、养护、切缝、清理现场，拆除废料外运弃置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1577.39</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4.35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23.76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21.84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29.58</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11.61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130.63</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89.51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112.13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67.7</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88.41</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167.17</w:t>
            </w:r>
            <w:r/>
          </w:p>
        </w:tc>
      </w:tr>
      <w:tr>
        <w:trPr>
          <w:trHeight w:val="201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现状人行道仿石陶瓷透水砖破损，断裂、破旧部位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200.48</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砼路面砖、砼透水砖等道板松动，错块，凸出，沉陷部位</w:t>
            </w:r>
            <w:r>
              <w:rPr>
                <w:rFonts w:hint="eastAsia" w:ascii="宋体" w:hAnsi="宋体" w:cs="宋体"/>
                <w:szCs w:val="21"/>
              </w:rPr>
              <w:br/>
              <w:t xml:space="preserve">2、工作内容：拆除原有面砖及粘结层；拆除废料清理并运输弃置；3cm干硬性水泥砂浆重新铺设，使用库存料路面砖铺设，含出库、运输</w:t>
            </w:r>
            <w:r>
              <w:rPr>
                <w:rFonts w:hint="eastAsia" w:ascii="宋体" w:hAnsi="宋体" w:cs="宋体"/>
                <w:szCs w:val="21"/>
              </w:rPr>
              <w:br/>
              <w:t xml:space="preserve">3、材料、材质：库存材料</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107.57</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2、工作内容：拆除原有 广场砖及清理，整理归集，用于铺设恢复；拆除废料清理并外运弃置；原垫层找平,3cm干硬性水泥砂浆重新铺设 广场砖，使用原广场砖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120.24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2、工作内容：对应清单“人行道广场砖面层修复”，旧料外运弃置；使用新购广场砖</w:t>
            </w:r>
            <w:r>
              <w:rPr>
                <w:rFonts w:hint="eastAsia" w:ascii="宋体" w:hAnsi="宋体" w:cs="宋体"/>
                <w:szCs w:val="21"/>
              </w:rPr>
              <w:br/>
              <w:t xml:space="preserve">3、材料、材质：100*100mm广场砖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107.58</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199.43</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293.7</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3、材料、材质：新购4cm金山石石板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1036.7</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243.04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62.24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2、工作内容：对应清单“人行道青砖修复”，旧料外运弃置；铺设新购青砖</w:t>
            </w:r>
            <w:r>
              <w:rPr>
                <w:rFonts w:hint="eastAsia" w:ascii="宋体" w:hAnsi="宋体" w:cs="宋体"/>
                <w:szCs w:val="21"/>
              </w:rPr>
              <w:br/>
              <w:t xml:space="preserve">3、材料、材质：4cm厚方形青砖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386.71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人行道青砖侧铺修复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73.01</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青砖破损，断裂、破旧部位</w:t>
            </w:r>
            <w:r>
              <w:rPr>
                <w:rFonts w:hint="eastAsia" w:ascii="宋体" w:hAnsi="宋体" w:cs="宋体"/>
                <w:szCs w:val="21"/>
              </w:rPr>
              <w:br/>
              <w:t xml:space="preserve">2、工作内容：对应清单“人行道青砖侧铺修复”，旧料外运弃置；铺设新购青砖</w:t>
            </w:r>
            <w:r>
              <w:rPr>
                <w:rFonts w:hint="eastAsia" w:ascii="宋体" w:hAnsi="宋体" w:cs="宋体"/>
                <w:szCs w:val="21"/>
              </w:rPr>
              <w:br/>
              <w:t xml:space="preserve">3、材料、材质：新购青砖21.5*10.5*4cm</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389.66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2、工作内容：拆除原有植草砖及粘结层，整理归集用于恢复路面；拆除废料清理并运输弃置；原垫层找平,使用原植草砖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48.37</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2、工作内容：对应清单“植草砖块料面层修复”，旧料外运弃置；铺设新购植草砖</w:t>
            </w:r>
            <w:r>
              <w:rPr>
                <w:rFonts w:hint="eastAsia" w:ascii="宋体" w:hAnsi="宋体" w:cs="宋体"/>
                <w:szCs w:val="21"/>
              </w:rPr>
              <w:br/>
              <w:t xml:space="preserve">3、材料、材质：新购植草砖80mm厚植草砖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107.79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卵石面层修复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1、部位:卵石园路破损，松动、卵石脱离、破旧等部位</w:t>
            </w:r>
            <w:r>
              <w:rPr>
                <w:rFonts w:hint="eastAsia" w:ascii="宋体" w:hAnsi="宋体" w:cs="宋体"/>
                <w:szCs w:val="21"/>
              </w:rPr>
              <w:br/>
              <w:t xml:space="preserve">2、工作内容：拆除原有卵石及粘结层路面，拆除废料清理并运输弃置；重新铺设卵石园路</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178.93</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仿石陶瓷砖防滑处理</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1、部位:仿石陶瓷砖人行道</w:t>
            </w:r>
            <w:r>
              <w:rPr>
                <w:rFonts w:hint="eastAsia" w:ascii="宋体" w:hAnsi="宋体" w:cs="宋体"/>
                <w:szCs w:val="21"/>
              </w:rPr>
              <w:br/>
              <w:t xml:space="preserve">2、工作内容：清理地面，专用药水涂抹，清理表面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花岗岩道板防滑处理</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1、部位:花岗岩道板人行道</w:t>
            </w:r>
            <w:r>
              <w:rPr>
                <w:rFonts w:hint="eastAsia" w:ascii="宋体" w:hAnsi="宋体" w:cs="宋体"/>
                <w:szCs w:val="21"/>
              </w:rPr>
              <w:br/>
              <w:t xml:space="preserve">2、工作内容：火烧处理花岗岩石板面，清理表面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20.18</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41.14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59.25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44.24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42.84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36.99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47.81</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292.28</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30.62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292.27</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40.48</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37.51</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36.58</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78.81</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安装石球：新购直径50cm花岗岩石球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1、工作内容：拆除、移除原损坏石球，旧料外运弃置；安砌花岗岩石球（直径50cm），购置，安砌、固定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537.94</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安装石球：新购直径60cm花岗岩石球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1、工作内容：拆除、移除原损坏石球，旧料外运弃置；安砌花岗岩石球（直径60cm），购置，安砌、固定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941.39</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移位石球车挡</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1、工作内容：花岗岩石球车挡，移位，安砌、固定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车阻石</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1、工作内容：购置花岗岩车阻石，φ10cm钢管焊接钢板预埋件安装</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3、材料品种：花岗岩车阻石，D=30cm，高60cm，样式按现场或采购人要求，尺寸不一致，按体积折算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447.5</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花岗岩车档修复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1、工作内容：花岗岩车档拆除、安装、扶正、连接固定费用</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26.9</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U型桩修复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1、工作内容：包括隔离桩扶正固定、除锈、涂漆、贴反光膜等所有费用</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透水混凝土</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1、工作内容：拆除原透水砼，拆除料外运弃置，重新浇筑透水砼</w:t>
            </w:r>
            <w:r>
              <w:rPr>
                <w:rFonts w:hint="eastAsia" w:ascii="宋体" w:hAnsi="宋体" w:cs="宋体"/>
                <w:szCs w:val="21"/>
              </w:rPr>
              <w:br/>
              <w:t xml:space="preserve">2、工作量计算规则：按面积以“平方米”计，厚度不一致折算处理</w:t>
            </w:r>
            <w:r>
              <w:rPr>
                <w:rFonts w:hint="eastAsia" w:ascii="宋体" w:hAnsi="宋体" w:cs="宋体"/>
                <w:szCs w:val="21"/>
              </w:rPr>
              <w:br/>
              <w:t xml:space="preserve">3、材料品种：15cm透水砼基础</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拆除刚性路面路基材料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1、结构形式:刚性路面路基材料，（钢筋砼或砼）综合考虑</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354.51</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拆除半刚性路面路基材料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1、结构形式:半刚性路面路基材料</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319.09</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树池盖板（箅子）</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1、材质、规格：130*130*3cm厚球墨铸铁树池篦子</w:t>
            </w:r>
            <w:r>
              <w:rPr>
                <w:rFonts w:hint="eastAsia" w:ascii="宋体" w:hAnsi="宋体" w:cs="宋体"/>
                <w:szCs w:val="21"/>
              </w:rPr>
              <w:br/>
              <w:t xml:space="preserve">2、工作内容：拆除、弃置元树池篦子，更换新树池篦子</w:t>
            </w:r>
            <w:r>
              <w:rPr>
                <w:rFonts w:hint="eastAsia" w:ascii="宋体" w:hAnsi="宋体" w:cs="宋体"/>
                <w:szCs w:val="21"/>
              </w:rPr>
              <w:br/>
              <w:t xml:space="preserve">3、工作量计算规则：按套计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874.15</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检查井升降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1、材料品种：砖砌检查井，雨水污水综合考虑，防沉降井盖座850*190（高度190mm)，详见设计，D400级，雨水井盖、污水井盖文字、图案按设计要求</w:t>
            </w:r>
            <w:r>
              <w:rPr>
                <w:rFonts w:hint="eastAsia" w:ascii="宋体" w:hAnsi="宋体" w:cs="宋体"/>
                <w:szCs w:val="21"/>
              </w:rPr>
              <w:br/>
              <w:t xml:space="preserve">2、工作内容：拆除旧窨井、雨水井框盖及升砌砖墙、抹内墙、消除废料,含运弃；安放井框盖，井盖座为更换新防沉降井盖座</w:t>
            </w:r>
            <w:r>
              <w:rPr>
                <w:rFonts w:hint="eastAsia" w:ascii="宋体" w:hAnsi="宋体" w:cs="宋体"/>
                <w:szCs w:val="21"/>
              </w:rPr>
              <w:br/>
              <w:t xml:space="preserve">3、平均升（降）高度：投标人自行考虑</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1723.79</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人工挖土（含外运）</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2、工作内容：人工挖土、抛土、修正底边、边坡</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163.96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机械挖土（含外运）</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2、工作内容：挖掘机挖土、装车、清理余土、人工配合修整路槽，清理等，含土方运输弃置</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135.33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1、结构形式:内弯型墨绿色镀锌管烤漆镀锌管，表面烤漆绿化围栏，高1.0米，尺寸不一致按此折算处理</w:t>
            </w:r>
            <w:r>
              <w:rPr>
                <w:rFonts w:hint="eastAsia" w:ascii="宋体" w:hAnsi="宋体" w:cs="宋体"/>
                <w:szCs w:val="21"/>
              </w:rPr>
              <w:br/>
              <w:t xml:space="preserve">2、工作内容：包括基础、围栏安装等所有费用，挖土费不单独计</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280.51</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1、结构形式:现场围挡</w:t>
            </w:r>
            <w:r>
              <w:rPr>
                <w:rFonts w:hint="eastAsia" w:ascii="宋体" w:hAnsi="宋体" w:cs="宋体"/>
                <w:szCs w:val="21"/>
              </w:rPr>
              <w:br/>
              <w:t xml:space="preserve">2、工作内容：2.5米以下，现场绿化围栏固定、连接、扶正等</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2、工作内容：开挖基坑，埋置隔离桩，基础固定</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95.46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2、工作内容：隔离桩扶正固定、除锈、涂漆、贴反光膜等所有费用</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32.33</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回填方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1、结构形式:回填土方</w:t>
            </w:r>
            <w:r>
              <w:rPr>
                <w:rFonts w:hint="eastAsia" w:ascii="宋体" w:hAnsi="宋体" w:cs="宋体"/>
                <w:szCs w:val="21"/>
              </w:rPr>
              <w:br/>
              <w:t xml:space="preserve">2、工作内容：坑槽回填，回填采用素土回填，包括土源</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49.29</w:t>
            </w:r>
            <w:r/>
          </w:p>
        </w:tc>
      </w:tr>
      <w:tr>
        <w:trPr>
          <w:trHeight w:val="316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路名牌新建或整体更换</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1、结构形式:立杆式双面路名牌，含表面贴膜，立杆安装等全套路名牌</w:t>
            </w:r>
            <w:r>
              <w:rPr>
                <w:rFonts w:hint="eastAsia" w:ascii="宋体" w:hAnsi="宋体" w:cs="宋体"/>
                <w:szCs w:val="21"/>
              </w:rPr>
              <w:br/>
              <w:t xml:space="preserve">2、规格、尺寸：126cm*36cm铝板（1.5mm厚），整套路牌喷塑、装配零部件，铝制特型材7cm*3cm,壁厚1.2mm，ABS塑料链接弯头，定做塑料件，70*50*3mm方钢管，除锈镀锌处理、厚8mm底板，配套底座等整套路名牌</w:t>
            </w:r>
            <w:r>
              <w:rPr>
                <w:rFonts w:hint="eastAsia" w:ascii="宋体" w:hAnsi="宋体" w:cs="宋体"/>
                <w:szCs w:val="21"/>
              </w:rPr>
              <w:br/>
              <w:t xml:space="preserve">3、工作内容：含挖土坑，立杆基础、安装路名牌、清理现场等</w:t>
            </w:r>
            <w:r>
              <w:rPr>
                <w:rFonts w:hint="eastAsia" w:ascii="宋体" w:hAnsi="宋体" w:cs="宋体"/>
                <w:szCs w:val="21"/>
              </w:rPr>
              <w:br/>
              <w:t xml:space="preserve">4、工作量计量规则：按套”计算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1770.61</w:t>
            </w:r>
            <w:r/>
          </w:p>
        </w:tc>
      </w:tr>
      <w:tr>
        <w:trPr>
          <w:trHeight w:val="288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路名牌更换(更换牌板）</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1、结构形式:双面路名牌，单面厚度2mm、1250*350 mm</w:t>
            </w:r>
            <w:r>
              <w:rPr>
                <w:rFonts w:hint="eastAsia" w:ascii="宋体" w:hAnsi="宋体" w:cs="宋体"/>
                <w:szCs w:val="21"/>
              </w:rPr>
              <w:br/>
              <w:t xml:space="preserve">2、规格、尺寸：126cm*36cm铝板（1.5mm厚），整套路牌喷塑、装配零部件，铝制特型材7cm*3cm,壁厚1.2mm，ABS塑料链接弯头，定做塑料件等</w:t>
            </w:r>
            <w:r>
              <w:rPr>
                <w:rFonts w:hint="eastAsia" w:ascii="宋体" w:hAnsi="宋体" w:cs="宋体"/>
                <w:szCs w:val="21"/>
              </w:rPr>
              <w:br/>
              <w:t xml:space="preserve">3、工作内容：拆除原损坏路名牌，更换新路名牌</w:t>
            </w:r>
            <w:r>
              <w:rPr>
                <w:rFonts w:hint="eastAsia" w:ascii="宋体" w:hAnsi="宋体" w:cs="宋体"/>
                <w:szCs w:val="21"/>
              </w:rPr>
              <w:br/>
              <w:t xml:space="preserve">4、工作量计量规则：按个数以“块”计算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1546.86</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路名牌贴膜</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1、结构形式:双面路名牌，更新表面膜，底膜采用反光膜（超强级）、字膜采用方光膜（超强级）</w:t>
            </w:r>
            <w:r>
              <w:rPr>
                <w:rFonts w:hint="eastAsia" w:ascii="宋体" w:hAnsi="宋体" w:cs="宋体"/>
                <w:szCs w:val="21"/>
              </w:rPr>
              <w:br/>
              <w:t xml:space="preserve">2、工作内容：清除路名牌表面旧贴膜，重新贴面</w:t>
            </w:r>
            <w:r>
              <w:rPr>
                <w:rFonts w:hint="eastAsia" w:ascii="宋体" w:hAnsi="宋体" w:cs="宋体"/>
                <w:szCs w:val="21"/>
              </w:rPr>
              <w:br/>
              <w:t xml:space="preserve">3、工作量计量规则：按个数以“块”计算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174.83</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路名牌除锈、油漆、加固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2、工作内容：路名牌除锈，油漆、加固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94.44</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路名牌除锈、加固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78.75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路名牌更换立杆</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1、结构形式:现状路名牌，单根70*50*3mm方钢管立杆，表面防锈烤漆，立柱高2米</w:t>
            </w:r>
            <w:r>
              <w:rPr>
                <w:rFonts w:hint="eastAsia" w:ascii="宋体" w:hAnsi="宋体" w:cs="宋体"/>
                <w:szCs w:val="21"/>
              </w:rPr>
              <w:br/>
              <w:t xml:space="preserve">2、工作内容：更换路名牌立杆</w:t>
            </w:r>
            <w:r>
              <w:rPr>
                <w:rFonts w:hint="eastAsia" w:ascii="宋体" w:hAnsi="宋体" w:cs="宋体"/>
                <w:szCs w:val="21"/>
              </w:rPr>
              <w:br/>
              <w:t xml:space="preserve">3、工作量计量规则：按个以“根”计算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266.57</w:t>
            </w:r>
            <w:r/>
          </w:p>
        </w:tc>
      </w:tr>
      <w:tr>
        <w:trPr>
          <w:trHeight w:val="57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热熔标线</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1、材料品种：热熔标线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r>
      <w:tr>
        <w:trPr>
          <w:trHeight w:val="57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常温标线</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1、材料品种：常温标线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24.21</w:t>
            </w:r>
            <w:r/>
          </w:p>
        </w:tc>
      </w:tr>
      <w:tr>
        <w:trPr>
          <w:trHeight w:val="28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清除标线</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1、清除方法：综合考虑</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80.69</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防滑条</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1、规格、材质：防滑铜条 3×40×1mm</w:t>
            </w:r>
            <w:r>
              <w:rPr>
                <w:rFonts w:hint="eastAsia" w:ascii="宋体" w:hAnsi="宋体" w:cs="宋体"/>
                <w:szCs w:val="21"/>
              </w:rPr>
              <w:br/>
              <w:t xml:space="preserve">2、工作内容：拆除原台阶金属防滑条，更换新防滑条</w:t>
            </w:r>
            <w:r>
              <w:rPr>
                <w:rFonts w:hint="eastAsia" w:ascii="宋体" w:hAnsi="宋体" w:cs="宋体"/>
                <w:szCs w:val="21"/>
              </w:rPr>
              <w:br/>
              <w:t xml:space="preserve">3、工作量计算规则：按米计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479.34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附着式标志牌</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2、材质、规格尺寸：圆形、三角形、矩形标志牌等，报价包括使用、维护、损耗等费用，材料残值归服务人。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389.77</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支架式标志牌</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2、材质、规格尺寸：160*140cm标志牌，报价包括使用、维护、损耗等费用，材料残值归服务人。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4、工作量计算规则：按“块”计，尺寸不一按面积折算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403.45</w:t>
            </w:r>
            <w:r/>
          </w:p>
        </w:tc>
      </w:tr>
      <w:tr>
        <w:trPr>
          <w:trHeight w:val="57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计日工</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按工日计，每个工日8个小时，不足8个小时折算工日</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工日</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172.14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栏杆（更新）</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3、工作内容：拆除原破损栏凳，清理现场，废料弃置，材料残值归服务人</w:t>
            </w:r>
            <w:r>
              <w:rPr>
                <w:rFonts w:hint="eastAsia" w:ascii="宋体" w:hAnsi="宋体" w:cs="宋体"/>
                <w:szCs w:val="21"/>
              </w:rPr>
              <w:br/>
              <w:t xml:space="preserve">4、工作量计算规则：按花岗岩体积以“立方米”计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6495.92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栏杆（维修）</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3、工作内容：破损栏凳维修，松动脱落部位粘结加固</w:t>
            </w:r>
            <w:r>
              <w:rPr>
                <w:rFonts w:hint="eastAsia" w:ascii="宋体" w:hAnsi="宋体" w:cs="宋体"/>
                <w:szCs w:val="21"/>
              </w:rPr>
              <w:br/>
              <w:t xml:space="preserve">4、工作量计算规则：按栏凳长度以“米”计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256.66</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104</w:t>
            </w:r>
            <w:r/>
          </w:p>
        </w:tc>
        <w:tc>
          <w:tcPr>
            <w:tcBorders>
              <w:top w:val="none" w:color="000000" w:sz="4" w:space="0"/>
              <w:left w:val="none" w:color="000000" w:sz="4" w:space="0"/>
              <w:bottom w:val="single" w:color="auto" w:sz="4" w:space="0"/>
              <w:right w:val="single" w:color="auto"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设施维护手续办理费用</w:t>
            </w:r>
            <w:r/>
          </w:p>
        </w:tc>
        <w:tc>
          <w:tcPr>
            <w:tcBorders>
              <w:top w:val="none" w:color="000000" w:sz="4" w:space="0"/>
              <w:left w:val="none" w:color="000000" w:sz="4" w:space="0"/>
              <w:bottom w:val="single" w:color="auto" w:sz="4" w:space="0"/>
              <w:right w:val="single" w:color="auto"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1、用于因设施维护并按采购人要求进行绿化迁移、管线迁移等产生的费用</w:t>
            </w:r>
            <w:r>
              <w:rPr>
                <w:rFonts w:hint="eastAsia" w:ascii="宋体" w:hAnsi="宋体" w:cs="宋体"/>
                <w:szCs w:val="21"/>
              </w:rPr>
              <w:br/>
              <w:t xml:space="preserve">2、</w:t>
            </w:r>
            <w:r>
              <w:rPr>
                <w:rFonts w:hint="eastAsia" w:ascii="宋体" w:hAnsi="宋体" w:cs="宋体"/>
                <w:b/>
                <w:bCs/>
                <w:szCs w:val="21"/>
              </w:rPr>
              <w:t xml:space="preserve">不可竞争</w:t>
            </w:r>
            <w:r>
              <w:rPr>
                <w:rFonts w:hint="eastAsia" w:ascii="宋体" w:hAnsi="宋体" w:cs="宋体"/>
                <w:szCs w:val="21"/>
              </w:rPr>
              <w:t xml:space="preserve">，按实结算</w:t>
            </w:r>
            <w:r/>
          </w:p>
        </w:tc>
        <w:tc>
          <w:tcPr>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r>
      <w:tr>
        <w:trPr>
          <w:trHeight w:val="28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第三部分 专项维护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车行道水泥稳定碎石摊铺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2、水泥稳定碎石厚：20cm水泥稳定碎石</w:t>
            </w:r>
            <w:r>
              <w:rPr>
                <w:rFonts w:hint="eastAsia" w:ascii="宋体" w:hAnsi="宋体" w:cs="宋体"/>
                <w:szCs w:val="21"/>
              </w:rPr>
              <w:br/>
              <w:t xml:space="preserve">2、维护内容：拆除20cm原水泥稳定碎石基层，废料外运弃置；拆除时不扰动未拆除部分；摊铺水泥稳定碎石，水泥剂量4%，覆盖养生</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134.3</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C20混凝土基层修复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2、厚度：20cmC20砼基层</w:t>
            </w:r>
            <w:r>
              <w:rPr>
                <w:rFonts w:hint="eastAsia" w:ascii="宋体" w:hAnsi="宋体" w:cs="宋体"/>
                <w:szCs w:val="21"/>
              </w:rPr>
              <w:br/>
              <w:t xml:space="preserve">3、维护内容：拆除20cm原混凝土面层，废料外运弃置；拆除时不扰动未拆除部分；浇筑C20水泥混凝土，覆盖养生</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163.14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C30混凝土基层修复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2、厚度：20cmC30砼基层</w:t>
            </w:r>
            <w:r>
              <w:rPr>
                <w:rFonts w:hint="eastAsia" w:ascii="宋体" w:hAnsi="宋体" w:cs="宋体"/>
                <w:szCs w:val="21"/>
              </w:rPr>
              <w:br/>
              <w:t xml:space="preserve">3、维护内容：拆除20cm原混凝土面层，废料外运弃置；拆除时不扰动未拆除部分；浇筑C30水泥混凝土，覆盖养生</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166.94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2、厚度：15cm干硬性碾压式C30砼</w:t>
            </w:r>
            <w:r>
              <w:rPr>
                <w:rFonts w:hint="eastAsia" w:ascii="宋体" w:hAnsi="宋体" w:cs="宋体"/>
                <w:szCs w:val="21"/>
              </w:rPr>
              <w:br/>
              <w:t xml:space="preserve">3、维护内容：拆除厚度15cm，废料外运弃置；拆除时不扰动未拆除部分；摊铺C30干硬性碾压式混凝土，养生、清理现场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117.91</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2、厚度：15cm干硬性碾压式C50砼</w:t>
            </w:r>
            <w:r>
              <w:rPr>
                <w:rFonts w:hint="eastAsia" w:ascii="宋体" w:hAnsi="宋体" w:cs="宋体"/>
                <w:szCs w:val="21"/>
              </w:rPr>
              <w:br/>
              <w:t xml:space="preserve">3、维护内容：拆除厚度15cm，废料外运弃置；拆除时不扰动未拆除部分；摊铺C50干硬性碾压式混凝土，养生、清理现场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133.92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2、维护方式：铣刨厚度6cm沥青砼，拆除时不扰动未拆除部分；重新修复沥青砼路面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84.56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2、维护方式：车行道中粒式沥青砼修复，增加抗车辙剂，添加量0.2~0.4%（质量比）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6.51</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77.18</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沥青砼AC-13C修复-厚度调整清单</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9.91</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沥青玛蹄脂碎石SMA-13修复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88.69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沥青玛蹄脂混合料SMA-13修复-厚度调整清单</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11.35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沥青砼修复-增加SBS改性剂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2、维护方式：对应清单“车行道细粒式沥青砼AC-13C修复”或“沥青玛蹄脂碎石SMA-13修复”，细粒式沥青砼AC-13C修复，增加SBS改性剂</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沥青砼修复-增加抗剥落剂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2、维护方式：对应清单“车行道细粒式沥青砼AC-13C修复”或“沥青玛蹄脂碎石SMA-13修复”，增加抗剥落剂，添加量（沥青）0.2%~0.4%(质量比）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0.33</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沥青砼修复-增加聚酯纤维</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5.09</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车行道封层修复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10.01</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2、维护方式:拆除厚度5cm沥青砼，拆除时不扰动未拆除部分,拆除废料外运弃置；重新修复路面，大空隙沥青砼关注高流动性水泥基浆，压实，清理现场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266.93</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3.47</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21.39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2、维护内容：清扫路基，运油、加热、洒布机（人工手泵）喷油、移动挡板（或遮盖物）保护侧缘石</w:t>
            </w:r>
            <w:r>
              <w:rPr>
                <w:rFonts w:hint="eastAsia" w:ascii="宋体" w:hAnsi="宋体" w:cs="宋体"/>
                <w:szCs w:val="21"/>
              </w:rPr>
              <w:br/>
              <w:t xml:space="preserve">3、面层材质：0.8kg/m2乳化沥青</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25.57</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15.56</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8.12</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2、维护内容：钢筋除锈， 安装角隅加固钢筋、钢筋网</w:t>
            </w:r>
            <w:r>
              <w:rPr>
                <w:rFonts w:hint="eastAsia" w:ascii="宋体" w:hAnsi="宋体" w:cs="宋体"/>
                <w:szCs w:val="21"/>
              </w:rPr>
              <w:br/>
              <w:t xml:space="preserve">3、面层材质：HRB400钢筋</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6446.74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135.03</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88.45</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101.54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40.95</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71.57</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129.73</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160.12</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72.66</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150.7</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230.78</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190.66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34.62</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62.16</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38.82</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21.52</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52.11</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32.23</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40.81</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135.84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3、材料、材质：新购30*12.5*100cm花岗岩侧石(圆弧形）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138.2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66.25</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30.02</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32.32</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雨水口新砌</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1、雨水箅子及圈口材质、型号、规格：350*550球墨铸铁雨水井蓖座</w:t>
            </w:r>
            <w:r>
              <w:rPr>
                <w:rFonts w:hint="eastAsia" w:ascii="宋体" w:hAnsi="宋体" w:cs="宋体"/>
                <w:szCs w:val="21"/>
              </w:rPr>
              <w:br/>
              <w:t xml:space="preserve">2、垫层、基础材质及厚度：碎石垫层，C25混凝土基础</w:t>
            </w:r>
            <w:r>
              <w:rPr>
                <w:rFonts w:hint="eastAsia" w:ascii="宋体" w:hAnsi="宋体" w:cs="宋体"/>
                <w:szCs w:val="21"/>
              </w:rPr>
              <w:br/>
              <w:t xml:space="preserve">3、砌筑材料品种、规格：MU10水泥砂浆砖砌MU10砖</w:t>
            </w:r>
            <w:r>
              <w:rPr>
                <w:rFonts w:hint="eastAsia" w:ascii="宋体" w:hAnsi="宋体" w:cs="宋体"/>
                <w:szCs w:val="21"/>
              </w:rPr>
              <w:br/>
              <w:t xml:space="preserve">4、砂浆强度等级及配合比：1：2水泥砂浆抹面</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1398.5</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执勤费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1、工作量计算规则：以“人*月”为单位，费用自行测算， 按实际数量结算</w:t>
            </w:r>
            <w:r>
              <w:rPr>
                <w:rFonts w:hint="eastAsia" w:ascii="宋体" w:hAnsi="宋体" w:cs="宋体"/>
                <w:szCs w:val="21"/>
              </w:rPr>
              <w:br/>
              <w:t xml:space="preserve">2、维护内容：交通执勤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人*月</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4500</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固定围挡</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1、工作量计算规则：按长以“米”计</w:t>
            </w:r>
            <w:r>
              <w:rPr>
                <w:rFonts w:hint="eastAsia" w:ascii="宋体" w:hAnsi="宋体" w:cs="宋体"/>
                <w:szCs w:val="21"/>
              </w:rPr>
              <w:br/>
              <w:t xml:space="preserve">2、维护内容：安装高标准围挡、维护、维修围挡、拆除围挡，含喷淋、公益广告、宣传布告、绿挂等</w:t>
            </w:r>
            <w:r>
              <w:rPr>
                <w:rFonts w:hint="eastAsia" w:ascii="宋体" w:hAnsi="宋体" w:cs="宋体"/>
                <w:szCs w:val="21"/>
              </w:rPr>
              <w:br/>
              <w:t xml:space="preserve">3、材质：围挡规格满足苏州市区相关规定及采购人要求</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325.38</w:t>
            </w:r>
            <w:r/>
          </w:p>
        </w:tc>
      </w:tr>
      <w:tr>
        <w:trPr>
          <w:trHeight w:val="288"/>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auto" w:sz="4" w:space="0"/>
              <w:left w:val="none" w:color="000000" w:sz="4" w:space="0"/>
              <w:bottom w:val="single" w:color="auto" w:sz="4" w:space="0"/>
              <w:right w:val="single" w:color="auto" w:sz="4" w:space="0"/>
            </w:tcBorders>
            <w:tcW w:w="56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第四部分 应急管理费</w:t>
            </w:r>
            <w:r/>
          </w:p>
        </w:tc>
        <w:tc>
          <w:tcPr>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574" w:type="dxa"/>
            <w:vAlign w:val="center"/>
            <w:textDirection w:val="lrTb"/>
            <w:noWrap w:val="false"/>
          </w:tcPr>
          <w:p>
            <w:pPr>
              <w:rPr>
                <w:rFonts w:hint="eastAsia" w:ascii="宋体" w:hAnsi="宋体" w:cs="宋体"/>
                <w:szCs w:val="21"/>
              </w:rPr>
            </w:pPr>
            <w:r>
              <w:rPr>
                <w:rFonts w:hint="eastAsia" w:ascii="宋体" w:hAnsi="宋体" w:cs="宋体"/>
                <w:szCs w:val="21"/>
              </w:rPr>
              <w:t xml:space="preserve">应急管理费</w:t>
            </w:r>
            <w:r/>
          </w:p>
        </w:tc>
        <w:tc>
          <w:tcPr>
            <w:tcBorders>
              <w:top w:val="none" w:color="000000" w:sz="4" w:space="0"/>
              <w:left w:val="none" w:color="000000" w:sz="4" w:space="0"/>
              <w:bottom w:val="single" w:color="auto" w:sz="4" w:space="0"/>
              <w:right w:val="single" w:color="auto"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雨季、冰冻季和台风暴雨等灾害性天气气候的养护值班及应急处理；紧急、特殊情况的应急处理，应急演练、临时安排等（以招标文件及采购人要求为准）</w:t>
            </w:r>
            <w:r/>
          </w:p>
        </w:tc>
        <w:tc>
          <w:tcPr>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r>
      <w:tr>
        <w:trPr>
          <w:trHeight w:val="533"/>
        </w:trPr>
        <w:tc>
          <w:tcPr>
            <w:gridSpan w:val="5"/>
            <w:tcBorders>
              <w:top w:val="single" w:color="auto" w:sz="4" w:space="0"/>
              <w:left w:val="single" w:color="auto" w:sz="4" w:space="0"/>
              <w:bottom w:val="single" w:color="auto" w:sz="4" w:space="0"/>
              <w:right w:val="single" w:color="auto" w:sz="4" w:space="0"/>
            </w:tcBorders>
            <w:tcW w:w="810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none" w:color="000000" w:sz="4" w:space="0"/>
              <w:bottom w:val="single" w:color="auto" w:sz="4" w:space="0"/>
              <w:right w:val="single" w:color="auto" w:sz="4" w:space="0"/>
            </w:tcBorders>
            <w:tcW w:w="1318" w:type="dxa"/>
            <w:vAlign w:val="center"/>
            <w:textDirection w:val="lrTb"/>
            <w:noWrap w:val="false"/>
          </w:tcPr>
          <w:p>
            <w:pPr>
              <w:jc w:val="right"/>
              <w:rPr>
                <w:rFonts w:hint="eastAsia" w:ascii="宋体" w:hAnsi="宋体" w:cs="宋体"/>
                <w:szCs w:val="21"/>
              </w:rPr>
            </w:pPr>
            <w:r>
              <w:rPr>
                <w:rFonts w:ascii="宋体" w:hAnsi="宋体" w:cs="宋体"/>
                <w:szCs w:val="21"/>
              </w:rPr>
              <w:t xml:space="preserve">37199988.02</w:t>
            </w:r>
            <w:r/>
          </w:p>
        </w:tc>
      </w:tr>
    </w:tbl>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注：包含人行道、车行道、平侧石、路名牌及其他道路附属设施；苏州市市政设施管理处</w:t>
      </w:r>
      <w:r>
        <w:rPr>
          <w:rFonts w:hint="eastAsia" w:ascii="宋体" w:hAnsi="宋体" w:cs="宋体"/>
          <w:sz w:val="24"/>
        </w:rPr>
        <w:t xml:space="preserve">维护</w:t>
      </w:r>
      <w:r>
        <w:rPr>
          <w:rFonts w:hint="eastAsia" w:ascii="宋体" w:hAnsi="宋体" w:cs="宋体"/>
          <w:sz w:val="24"/>
        </w:rPr>
        <w:t xml:space="preserve">范围内道路的挖掘修复工作均由第二标段实施。</w:t>
      </w:r>
      <w:r/>
    </w:p>
    <w:p>
      <w:pPr>
        <w:ind w:firstLine="480"/>
        <w:spacing w:line="360" w:lineRule="auto"/>
        <w:tabs>
          <w:tab w:val="left" w:pos="840" w:leader="none"/>
        </w:tabs>
        <w:rPr>
          <w:rFonts w:hint="eastAsia" w:ascii="宋体" w:hAnsi="宋体"/>
          <w:sz w:val="24"/>
        </w:rPr>
      </w:pPr>
      <w:r>
        <w:rPr>
          <w:rFonts w:hint="eastAsia" w:ascii="宋体" w:hAnsi="宋体"/>
          <w:sz w:val="24"/>
        </w:rPr>
        <w:t xml:space="preserve">第三标段：2026-2027年度市政设施维护服务项目（道路3标）</w:t>
      </w:r>
      <w:r/>
    </w:p>
    <w:p>
      <w:pPr>
        <w:pStyle w:val="745"/>
        <w:ind w:firstLine="480"/>
        <w:rPr>
          <w:rFonts w:hint="eastAsia"/>
          <w:sz w:val="24"/>
          <w:szCs w:val="24"/>
        </w:rPr>
      </w:pPr>
      <w:r>
        <w:rPr>
          <w:rFonts w:hint="eastAsia"/>
          <w:sz w:val="24"/>
          <w:szCs w:val="24"/>
        </w:rPr>
        <w:t xml:space="preserve">项目实施范围包</w:t>
      </w:r>
      <w:r>
        <w:rPr>
          <w:rFonts w:hint="eastAsia"/>
          <w:sz w:val="24"/>
          <w:szCs w:val="24"/>
        </w:rPr>
        <w:t xml:space="preserve">括：吴门桥街道、双塔街道、沧浪街道、金阊街道环古城河以外区域等范围道路（含干将东路及沿线路口），包括南环西路、盘胥路、烽火路、干将西路、劳动路等道路，车行道面积约193.72万平方米，人行道面积约54.12万平方米。其中养护等级I等的道路总长约57301米，设施量为车行道约1494037.05平方米，人行道约410536.56平方米，平侧石约482341.35米；养护等级II等的道路总长约32668米，设施量为车行道约433901.26平方米，人行道约128770.88平方米，平侧石约140405.83米。</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清单如下：</w:t>
      </w:r>
      <w:r/>
    </w:p>
    <w:tbl>
      <w:tblPr>
        <w:tblW w:w="9440" w:type="dxa"/>
        <w:tblLook w:val="04A0" w:firstRow="1" w:lastRow="0" w:firstColumn="1" w:lastColumn="0" w:noHBand="0" w:noVBand="1"/>
      </w:tblPr>
      <w:tblGrid>
        <w:gridCol w:w="815"/>
        <w:gridCol w:w="1582"/>
        <w:gridCol w:w="4013"/>
        <w:gridCol w:w="813"/>
        <w:gridCol w:w="846"/>
        <w:gridCol w:w="1371"/>
      </w:tblGrid>
      <w:tr>
        <w:trPr>
          <w:trHeight w:val="956"/>
        </w:trPr>
        <w:tc>
          <w:tcPr>
            <w:tcBorders>
              <w:top w:val="single" w:color="000000" w:sz="8"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项目名称</w:t>
            </w:r>
            <w:r/>
          </w:p>
        </w:tc>
        <w:tc>
          <w:tcPr>
            <w:tcBorders>
              <w:top w:val="single" w:color="000000" w:sz="8" w:space="0"/>
              <w:left w:val="single" w:color="000000" w:sz="4" w:space="0"/>
              <w:bottom w:val="single" w:color="000000" w:sz="4" w:space="0"/>
              <w:right w:val="single" w:color="000000" w:sz="4" w:space="0"/>
            </w:tcBorders>
            <w:tcW w:w="4045"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项目描述</w:t>
            </w:r>
            <w:r/>
          </w:p>
        </w:tc>
        <w:tc>
          <w:tcPr>
            <w:tcBorders>
              <w:top w:val="single" w:color="000000" w:sz="8"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c>
          <w:tcPr>
            <w:tcBorders>
              <w:top w:val="single" w:color="000000" w:sz="8" w:space="0"/>
              <w:left w:val="single" w:color="000000" w:sz="4" w:space="0"/>
              <w:bottom w:val="single" w:color="000000" w:sz="4" w:space="0"/>
              <w:right w:val="single" w:color="auto" w:sz="4" w:space="0"/>
            </w:tcBorders>
            <w:tcW w:w="84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最高限价单价/元</w:t>
            </w:r>
            <w:r/>
          </w:p>
        </w:tc>
      </w:tr>
      <w:tr>
        <w:trPr>
          <w:trHeight w:val="28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3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第一部分 巡视</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321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日常巡视（标段3）</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1、工作量计算规则：以“月”为单位，费用自行测算， 按报价结合考核结算</w:t>
            </w:r>
            <w:r>
              <w:rPr>
                <w:rFonts w:hint="eastAsia" w:ascii="宋体" w:hAnsi="宋体" w:cs="宋体"/>
                <w:szCs w:val="21"/>
              </w:rPr>
              <w:br/>
              <w:t xml:space="preserve">2、维护内容：专用巡视车辆（含驾驶人员）对区域范围内市政道路及设施进行日常巡视；专职道路管理人员或养护技术人员对道路（含人行道）及附属设施进行巡视</w:t>
            </w:r>
            <w:r>
              <w:rPr>
                <w:rFonts w:hint="eastAsia" w:ascii="宋体" w:hAnsi="宋体" w:cs="宋体"/>
                <w:szCs w:val="21"/>
              </w:rPr>
              <w:br/>
              <w:t xml:space="preserve">3、巡视频率根据招标文件要求，响应发包人考核</w:t>
            </w:r>
            <w:r>
              <w:rPr>
                <w:rFonts w:hint="eastAsia" w:ascii="宋体" w:hAnsi="宋体" w:cs="宋体"/>
                <w:szCs w:val="21"/>
              </w:rPr>
              <w:br/>
              <w:t xml:space="preserve">4、巡视内容：路面外观变化、结构变化、道路维护作业情况及附属设施等状况，路名牌清洁，做相应记录;</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60517.89</w:t>
            </w:r>
            <w:r/>
          </w:p>
        </w:tc>
      </w:tr>
      <w:tr>
        <w:trPr>
          <w:trHeight w:val="28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3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第二部分 零星维护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90.69</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C20砼基层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2、维护方式：拆除厚度20cm，拆除时不扰动未拆除部分，废料外运弃置；浇筑20cmC20混凝土，养生、清理现场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217.65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C30砼基层修复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2、维护方式：拆除厚度20cm，拆除时不扰动未拆除部分，废料外运弃置；浇筑20cmC30混凝土，养生、清理现场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222.22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2、维护方式：拆除厚度15cm，拆除时不扰动未拆除部分，废料外运弃置；摊铺C30干硬性碾压式混凝土，养生、清理现场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162.86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1、工作量计算规则：按面积以“m2”计算,厚度不一致折算处理</w:t>
            </w:r>
            <w:r>
              <w:rPr>
                <w:rFonts w:hint="eastAsia" w:ascii="宋体" w:hAnsi="宋体" w:cs="宋体"/>
                <w:szCs w:val="21"/>
              </w:rPr>
              <w:br/>
              <w:t xml:space="preserve">2、维护方式：拆除厚度15cm，拆除时不扰动未拆除部分，废料外运弃置；摊铺C50干硬性碾压式混凝土，养生、清理现场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181.95</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143.83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2、维护方式：拆除厚度6cm沥青砼，拆除时不扰动未拆除部分，废料外运弃置；重新修复沥青砼路面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2、维护方式：车行道中粒式沥青砼修复，增加抗车辙剂，剂量为沥青混合料0.3%（质量比）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8.76</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1、部位：粘层</w:t>
            </w:r>
            <w:r>
              <w:rPr>
                <w:rFonts w:hint="eastAsia" w:ascii="宋体" w:hAnsi="宋体" w:cs="宋体"/>
                <w:szCs w:val="21"/>
              </w:rPr>
              <w:br/>
              <w:t xml:space="preserve">2、材料品种：乳化沥青</w:t>
            </w:r>
            <w:r>
              <w:rPr>
                <w:rFonts w:hint="eastAsia" w:ascii="宋体" w:hAnsi="宋体" w:cs="宋体"/>
                <w:szCs w:val="21"/>
              </w:rPr>
              <w:br/>
              <w:t xml:space="preserve">3、喷油量：0.8kg/m2</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封层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2、维护方式：拆除原沥青封层，拆除废料拆除弃置；重新铺设封层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12.47</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124.14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车行道细粒式沥青砼AC-13C修复-厚度调整清单</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148.27</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车行道沥青玛蹄脂混合料SMA-13修复-厚度调整清单</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16.57</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车行道细粒式沥青砼修复增加SBS改性剂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2、维护方式:车行道细粒式沥青砼修复，增加SBS改性剂</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12.03</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车行道细粒式沥青砼增加抗剥落剂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2、维护方式:车行道细粒式沥青砼修复，增加抗剥落剂，添加量（沥青）0.2%~0.4%(质量比）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0.41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车行道细粒式沥青砼增加聚酯纤维</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szCs w:val="21"/>
              </w:rPr>
              <w:br/>
              <w:t xml:space="preserve">2、维护方式:车行道细粒式沥青砼修复，增加聚酯纤维，添加量（混合料）0.3%~0.4%(质量比）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车行道冷补沥青修复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1、工作量计算规则：按体积以“立方米”计</w:t>
            </w:r>
            <w:r>
              <w:rPr>
                <w:rFonts w:hint="eastAsia" w:ascii="宋体" w:hAnsi="宋体" w:cs="宋体"/>
                <w:szCs w:val="21"/>
              </w:rPr>
              <w:br/>
              <w:t xml:space="preserve">2、维护方式:坑洞清理、冷料沥青填筑坑洞、夯实</w:t>
            </w:r>
            <w:r>
              <w:rPr>
                <w:rFonts w:hint="eastAsia" w:ascii="宋体" w:hAnsi="宋体" w:cs="宋体"/>
                <w:szCs w:val="21"/>
              </w:rPr>
              <w:br/>
              <w:t xml:space="preserve">3、面层材质：冷补沥青混合料</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4262.59</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2、维护方式:拆除厚度5cm沥青砼，拆除废料外运弃置，拆除时不扰动未拆除部分；重新修复路面，大空隙沥青砼灌注高流动性水泥基浆，压实，清理现场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355.87</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车行道彩色陶瓷颗粒防滑路面修复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2、维护方式:路面清扫、刮涂树脂粘结料、撒布陶瓷颗粒、收集多余陶瓷颗粒等 </w:t>
            </w:r>
            <w:r>
              <w:rPr>
                <w:rFonts w:hint="eastAsia" w:ascii="宋体" w:hAnsi="宋体" w:cs="宋体"/>
                <w:szCs w:val="21"/>
              </w:rPr>
              <w:br/>
              <w:t xml:space="preserve">3、面层材质：改性环氧树脂高性能高分子聚合材料5mm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161.39</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2、维护方式:安装边缘钢筋、角隅加固钢筋、钢筋网。</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7603.23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车行道C20快凝混凝土砼坑洞修补</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2、部位：路面坑洞</w:t>
            </w:r>
            <w:r>
              <w:rPr>
                <w:rFonts w:hint="eastAsia" w:ascii="宋体" w:hAnsi="宋体" w:cs="宋体"/>
                <w:szCs w:val="21"/>
              </w:rPr>
              <w:br/>
              <w:t xml:space="preserve">3、修补材料：C20快凝混凝土</w:t>
            </w:r>
            <w:r>
              <w:rPr>
                <w:rFonts w:hint="eastAsia" w:ascii="宋体" w:hAnsi="宋体" w:cs="宋体"/>
                <w:szCs w:val="21"/>
              </w:rPr>
              <w:br/>
              <w:t xml:space="preserve">4、维护方式：凿除、清洗、配料、拌合、浇筑、捣固、养生、清理现场，拆除废料外运弃置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1834.24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车行道C20碳纤维速凝混凝土坑洞修补</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1、工作量计算规则：按体积以“m3”计算</w:t>
            </w:r>
            <w:r>
              <w:rPr>
                <w:rFonts w:hint="eastAsia" w:ascii="宋体" w:hAnsi="宋体" w:cs="宋体"/>
                <w:szCs w:val="21"/>
              </w:rPr>
              <w:br/>
              <w:t xml:space="preserve">2、部位：混凝土坑洞</w:t>
            </w:r>
            <w:r>
              <w:rPr>
                <w:rFonts w:hint="eastAsia" w:ascii="宋体" w:hAnsi="宋体" w:cs="宋体"/>
                <w:szCs w:val="21"/>
              </w:rPr>
              <w:br/>
              <w:t xml:space="preserve">3、修补材料：C20碳纤维速凝混凝土</w:t>
            </w:r>
            <w:r>
              <w:rPr>
                <w:rFonts w:hint="eastAsia" w:ascii="宋体" w:hAnsi="宋体" w:cs="宋体"/>
                <w:szCs w:val="21"/>
              </w:rPr>
              <w:br/>
              <w:t xml:space="preserve">4、维护方式：翻挖、切边、整平、铺筑、振实、抹平、养护、切缝、清理现场，拆除废料外运弃置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1577.39</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4.35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23.76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21.84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29.58</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16.14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11.61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130.63</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89.51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112.13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67.7</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88.41</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167.17</w:t>
            </w:r>
            <w:r/>
          </w:p>
        </w:tc>
      </w:tr>
      <w:tr>
        <w:trPr>
          <w:trHeight w:val="201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现状人行道仿石陶瓷透水砖破损，断裂、破旧部位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200.48</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砼路面砖、砼透水砖等道板松动，错块，凸出，沉陷部位</w:t>
            </w:r>
            <w:r>
              <w:rPr>
                <w:rFonts w:hint="eastAsia" w:ascii="宋体" w:hAnsi="宋体" w:cs="宋体"/>
                <w:szCs w:val="21"/>
              </w:rPr>
              <w:br/>
              <w:t xml:space="preserve">2、工作内容：拆除原有面砖及粘结层；拆除废料清理并运输弃置；3cm干硬性水泥砂浆重新铺设，使用库存料路面砖铺设，含出库、运输</w:t>
            </w:r>
            <w:r>
              <w:rPr>
                <w:rFonts w:hint="eastAsia" w:ascii="宋体" w:hAnsi="宋体" w:cs="宋体"/>
                <w:szCs w:val="21"/>
              </w:rPr>
              <w:br/>
              <w:t xml:space="preserve">3、材料、材质：库存材料</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107.57</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2、工作内容：拆除原有 广场砖及清理，整理归集，用于铺设恢复；拆除废料清理并外运弃置；原垫层找平,3cm干硬性水泥砂浆重新铺设 广场砖，使用原广场砖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120.24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人行道广场砖面层修复材料费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广场砖松动，错块，凸出，沉陷部位</w:t>
            </w:r>
            <w:r>
              <w:rPr>
                <w:rFonts w:hint="eastAsia" w:ascii="宋体" w:hAnsi="宋体" w:cs="宋体"/>
                <w:szCs w:val="21"/>
              </w:rPr>
              <w:br/>
              <w:t xml:space="preserve">2、工作内容：对应清单“人行道广场砖面层修复”，旧料外运弃置；使用新购广场砖</w:t>
            </w:r>
            <w:r>
              <w:rPr>
                <w:rFonts w:hint="eastAsia" w:ascii="宋体" w:hAnsi="宋体" w:cs="宋体"/>
                <w:szCs w:val="21"/>
              </w:rPr>
              <w:br/>
              <w:t xml:space="preserve">3、材料、材质：100*100mm广场砖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107.58</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199.43</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293.7</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3、材料、材质：新购4cm金山石石板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1036.7</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243.04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62.24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2、工作内容：对应清单“人行道青砖修复”，旧料外运弃置；铺设新购青砖</w:t>
            </w:r>
            <w:r>
              <w:rPr>
                <w:rFonts w:hint="eastAsia" w:ascii="宋体" w:hAnsi="宋体" w:cs="宋体"/>
                <w:szCs w:val="21"/>
              </w:rPr>
              <w:br/>
              <w:t xml:space="preserve">3、材料、材质：4cm厚方形青砖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386.71</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人行道青砖侧铺修复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青砖松动，错块，凸出，沉陷部位</w:t>
            </w:r>
            <w:r>
              <w:rPr>
                <w:rFonts w:hint="eastAsia" w:ascii="宋体" w:hAnsi="宋体" w:cs="宋体"/>
                <w:szCs w:val="21"/>
              </w:rPr>
              <w:br/>
              <w:t xml:space="preserve">2、工作内容：拆除原有青砖及粘结层，整理归集用于恢复路面；拆除废料清理并运输弃置；原垫层找平,3cm干硬性水泥砂浆重新铺设，使用原青砖材料</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73.01</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青砖破损，断裂、破旧部位</w:t>
            </w:r>
            <w:r>
              <w:rPr>
                <w:rFonts w:hint="eastAsia" w:ascii="宋体" w:hAnsi="宋体" w:cs="宋体"/>
                <w:szCs w:val="21"/>
              </w:rPr>
              <w:br/>
              <w:t xml:space="preserve">2、工作内容：对应清单“人行道青砖侧铺修复”，旧料外运弃置；铺设新购青砖</w:t>
            </w:r>
            <w:r>
              <w:rPr>
                <w:rFonts w:hint="eastAsia" w:ascii="宋体" w:hAnsi="宋体" w:cs="宋体"/>
                <w:szCs w:val="21"/>
              </w:rPr>
              <w:br/>
              <w:t xml:space="preserve">3、材料、材质：新购青砖21.5*10.5*4cm</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389.66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2、工作内容：拆除原有植草砖及粘结层，整理归集用于恢复路面；拆除废料清理并运输弃置；原垫层找平,使用原植草砖</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48.37</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植草砖块料面层修复材料费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植草砖破损，断裂、破旧部位</w:t>
            </w:r>
            <w:r>
              <w:rPr>
                <w:rFonts w:hint="eastAsia" w:ascii="宋体" w:hAnsi="宋体" w:cs="宋体"/>
                <w:szCs w:val="21"/>
              </w:rPr>
              <w:br/>
              <w:t xml:space="preserve">2、工作内容：对应清单“植草砖块料面层修复”，旧料外运弃置；铺设新购植草砖</w:t>
            </w:r>
            <w:r>
              <w:rPr>
                <w:rFonts w:hint="eastAsia" w:ascii="宋体" w:hAnsi="宋体" w:cs="宋体"/>
                <w:szCs w:val="21"/>
              </w:rPr>
              <w:br/>
              <w:t xml:space="preserve">3、材料、材质：新购植草砖80mm厚植草砖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107.79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卵石面层修复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1、部位:卵石园路破损，松动、卵石脱离、破旧等部位</w:t>
            </w:r>
            <w:r>
              <w:rPr>
                <w:rFonts w:hint="eastAsia" w:ascii="宋体" w:hAnsi="宋体" w:cs="宋体"/>
                <w:szCs w:val="21"/>
              </w:rPr>
              <w:br/>
              <w:t xml:space="preserve">2、工作内容：拆除原有卵石及粘结层路面，拆除废料清理并运输弃置；重新铺设卵石园路</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178.93</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仿石陶瓷砖防滑处理</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1、部位:仿石陶瓷砖人行道</w:t>
            </w:r>
            <w:r>
              <w:rPr>
                <w:rFonts w:hint="eastAsia" w:ascii="宋体" w:hAnsi="宋体" w:cs="宋体"/>
                <w:szCs w:val="21"/>
              </w:rPr>
              <w:br/>
              <w:t xml:space="preserve">2、工作内容：清理地面，专用药水涂抹，清理表面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花岗岩道板防滑处理</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1、部位:花岗岩道板人行道</w:t>
            </w:r>
            <w:r>
              <w:rPr>
                <w:rFonts w:hint="eastAsia" w:ascii="宋体" w:hAnsi="宋体" w:cs="宋体"/>
                <w:szCs w:val="21"/>
              </w:rPr>
              <w:br/>
              <w:t xml:space="preserve">2、工作内容：火烧处理花岗岩石板面，清理表面</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20.18</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41.14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59.25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2、工作内容:对应清单“混凝土侧石修复”，旧料外运弃置；安砌新购侧石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44.24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42.84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36.99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47.81</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3、材料、材质：新购30*12.5*100cm花岗岩侧石(圆形）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292.28</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30.62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159.06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2、工作内容:对应清单“花岗岩平石修复”，旧料外运弃置；安砌新购平石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292.27</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40.48</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37.51</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36.58</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2、工作内容:对应清单“花岗岩侧石修复”，旧料外运弃置；安砌新购侧石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78.81</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安装石球：新购直径50cm花岗岩石球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1、工作内容：拆除、移除原损坏石球，旧料外运弃置；安砌花岗岩石球（直径50cm），购置，安砌、固定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537.94</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安装石球：新购直径60cm花岗岩石球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1、工作内容：拆除、移除原损坏石球，旧料外运弃置；安砌花岗岩石球（直径60cm），购置，安砌、固定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941.39</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移位石球车挡</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1、工作内容：花岗岩石球车挡，移位，安砌、固定</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个</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车阻石</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1、工作内容：购置花岗岩车阻石，φ10cm钢管焊接钢板预埋件安装</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3、材料品种：花岗岩车阻石，D=30cm，高60cm，样式按现场或采购人要求，尺寸不一致，按体积折算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447.5</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花岗岩车档修复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1、工作内容：花岗岩车档拆除、安装、扶正、连接固定费用</w:t>
            </w:r>
            <w:r>
              <w:rPr>
                <w:rFonts w:hint="eastAsia" w:ascii="宋体" w:hAnsi="宋体" w:cs="宋体"/>
                <w:szCs w:val="21"/>
              </w:rPr>
              <w:br/>
              <w:t xml:space="preserve">2、工作量计算规则：按数量以“个"计</w:t>
            </w:r>
            <w:r>
              <w:rPr>
                <w:rFonts w:hint="eastAsia" w:ascii="宋体" w:hAnsi="宋体" w:cs="宋体"/>
                <w:szCs w:val="21"/>
              </w:rPr>
              <w:br/>
              <w:t xml:space="preserve">3、材料品种：花岗岩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26.9</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U型桩修复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1、工作内容：包括隔离桩扶正固定、除锈、涂漆、贴反光膜等所有费用</w:t>
            </w:r>
            <w:r>
              <w:rPr>
                <w:rFonts w:hint="eastAsia" w:ascii="宋体" w:hAnsi="宋体" w:cs="宋体"/>
                <w:szCs w:val="21"/>
              </w:rPr>
              <w:br/>
              <w:t xml:space="preserve">2、工作量计算规则：按数量以“个"计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透水混凝土</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1、工作内容：拆除原透水砼，拆除料外运弃置，重新浇筑透水砼</w:t>
            </w:r>
            <w:r>
              <w:rPr>
                <w:rFonts w:hint="eastAsia" w:ascii="宋体" w:hAnsi="宋体" w:cs="宋体"/>
                <w:szCs w:val="21"/>
              </w:rPr>
              <w:br/>
              <w:t xml:space="preserve">2、工作量计算规则：按面积以“平方米”计，厚度不一致折算处理</w:t>
            </w:r>
            <w:r>
              <w:rPr>
                <w:rFonts w:hint="eastAsia" w:ascii="宋体" w:hAnsi="宋体" w:cs="宋体"/>
                <w:szCs w:val="21"/>
              </w:rPr>
              <w:br/>
              <w:t xml:space="preserve">3、材料品种：15cm透水砼基础</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拆除刚性路面路基材料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1、结构形式:刚性路面路基材料，（钢筋砼或砼）综合考虑</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354.51</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拆除半刚性路面路基材料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1、结构形式:半刚性路面路基材料</w:t>
            </w:r>
            <w:r>
              <w:rPr>
                <w:rFonts w:hint="eastAsia" w:ascii="宋体" w:hAnsi="宋体" w:cs="宋体"/>
                <w:szCs w:val="21"/>
              </w:rPr>
              <w:br/>
              <w:t xml:space="preserve">2、工作内容：拆除、清理现场，含外运弃置费用</w:t>
            </w:r>
            <w:r>
              <w:rPr>
                <w:rFonts w:hint="eastAsia" w:ascii="宋体" w:hAnsi="宋体" w:cs="宋体"/>
                <w:szCs w:val="21"/>
              </w:rPr>
              <w:br/>
              <w:t xml:space="preserve">3、工作量计量规则修正为：按拆除体积计算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319.09</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树池盖板（箅子）</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1、材质、规格：130*130*3cm厚球墨铸铁树池篦子</w:t>
            </w:r>
            <w:r>
              <w:rPr>
                <w:rFonts w:hint="eastAsia" w:ascii="宋体" w:hAnsi="宋体" w:cs="宋体"/>
                <w:szCs w:val="21"/>
              </w:rPr>
              <w:br/>
              <w:t xml:space="preserve">2、工作内容：拆除、弃置元树池篦子，更换新树池篦子</w:t>
            </w:r>
            <w:r>
              <w:rPr>
                <w:rFonts w:hint="eastAsia" w:ascii="宋体" w:hAnsi="宋体" w:cs="宋体"/>
                <w:szCs w:val="21"/>
              </w:rPr>
              <w:br/>
              <w:t xml:space="preserve">3、工作量计算规则：按套计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874.15</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检查井升降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1、材料品种：砖砌检查井，雨水污水综合考虑，防沉降井盖座850*190（高度190mm)，详见设计，D400级，雨水井盖、污水井盖文字、图案按设计要求</w:t>
            </w:r>
            <w:r>
              <w:rPr>
                <w:rFonts w:hint="eastAsia" w:ascii="宋体" w:hAnsi="宋体" w:cs="宋体"/>
                <w:szCs w:val="21"/>
              </w:rPr>
              <w:br/>
              <w:t xml:space="preserve">2、工作内容：拆除旧窨井、雨水井框盖及升砌砖墙、抹内墙、消除废料,含运弃；安放井框盖，井盖座为更换新防沉降井盖座</w:t>
            </w:r>
            <w:r>
              <w:rPr>
                <w:rFonts w:hint="eastAsia" w:ascii="宋体" w:hAnsi="宋体" w:cs="宋体"/>
                <w:szCs w:val="21"/>
              </w:rPr>
              <w:br/>
              <w:t xml:space="preserve">3、平均升（降）高度：投标人自行考虑</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1723.79</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人工挖土（含外运）</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2、工作内容：人工挖土、抛土、修正底边、边坡</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163.96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机械挖土（含外运）</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1、结构形式:土方类型综合考虑</w:t>
            </w:r>
            <w:r>
              <w:rPr>
                <w:rFonts w:hint="eastAsia" w:ascii="宋体" w:hAnsi="宋体" w:cs="宋体"/>
                <w:szCs w:val="21"/>
              </w:rPr>
              <w:br/>
              <w:t xml:space="preserve">2、工作内容：挖掘机挖土、装车、清理余土、人工配合修整路槽，清理等，含土方运输弃置</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135.33</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1、结构形式:内弯型墨绿色镀锌管烤漆镀锌管，表面烤漆绿化围栏，高1.0米，尺寸不一致按此折算处理</w:t>
            </w:r>
            <w:r>
              <w:rPr>
                <w:rFonts w:hint="eastAsia" w:ascii="宋体" w:hAnsi="宋体" w:cs="宋体"/>
                <w:szCs w:val="21"/>
              </w:rPr>
              <w:br/>
              <w:t xml:space="preserve">2、工作内容：包括基础、围栏安装等所有费用，挖土费不单独计</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280.51</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绿化围栏修复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1、结构形式:现场围挡</w:t>
            </w:r>
            <w:r>
              <w:rPr>
                <w:rFonts w:hint="eastAsia" w:ascii="宋体" w:hAnsi="宋体" w:cs="宋体"/>
                <w:szCs w:val="21"/>
              </w:rPr>
              <w:br/>
              <w:t xml:space="preserve">2、工作内容：2.5米以下，现场绿化围栏固定、连接、扶正等</w:t>
            </w:r>
            <w:r>
              <w:rPr>
                <w:rFonts w:hint="eastAsia" w:ascii="宋体" w:hAnsi="宋体" w:cs="宋体"/>
                <w:szCs w:val="21"/>
              </w:rPr>
              <w:br/>
              <w:t xml:space="preserve">3、工作量计量规则：按长度以“米”计算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2、工作内容：开挖基坑，埋置隔离桩，基础固定</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95.46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隔离桩修复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1、结构形式:镀锌钢管贴黄黑相间反光膜，φ140，地面高500mm,</w:t>
            </w:r>
            <w:r>
              <w:rPr>
                <w:rFonts w:hint="eastAsia" w:ascii="宋体" w:hAnsi="宋体" w:cs="宋体"/>
                <w:szCs w:val="21"/>
              </w:rPr>
              <w:br/>
              <w:t xml:space="preserve">2、工作内容：隔离桩扶正固定、除锈、涂漆、贴反光膜等所有费用</w:t>
            </w:r>
            <w:r>
              <w:rPr>
                <w:rFonts w:hint="eastAsia" w:ascii="宋体" w:hAnsi="宋体" w:cs="宋体"/>
                <w:szCs w:val="21"/>
              </w:rPr>
              <w:br/>
              <w:t xml:space="preserve">3、工作量计量规则：按个数以“根”计算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32.33</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回填方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1、结构形式:回填土方</w:t>
            </w:r>
            <w:r>
              <w:rPr>
                <w:rFonts w:hint="eastAsia" w:ascii="宋体" w:hAnsi="宋体" w:cs="宋体"/>
                <w:szCs w:val="21"/>
              </w:rPr>
              <w:br/>
              <w:t xml:space="preserve">2、工作内容：坑槽回填，回填采用素土回填，包括土源</w:t>
            </w:r>
            <w:r>
              <w:rPr>
                <w:rFonts w:hint="eastAsia" w:ascii="宋体" w:hAnsi="宋体" w:cs="宋体"/>
                <w:szCs w:val="21"/>
              </w:rPr>
              <w:br/>
              <w:t xml:space="preserve">3、工作量计量规则：按体积以“立方米”计算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49.29</w:t>
            </w:r>
            <w:r/>
          </w:p>
        </w:tc>
      </w:tr>
      <w:tr>
        <w:trPr>
          <w:trHeight w:val="316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路名牌新建或整体更换</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1、结构形式:立杆式双面路名牌，含表面贴膜，立杆安装等全套路名牌</w:t>
            </w:r>
            <w:r>
              <w:rPr>
                <w:rFonts w:hint="eastAsia" w:ascii="宋体" w:hAnsi="宋体" w:cs="宋体"/>
                <w:szCs w:val="21"/>
              </w:rPr>
              <w:br/>
              <w:t xml:space="preserve">2、规格、尺寸：126cm*36cm铝板（1.5mm厚），整套路牌喷塑、装配零部件，铝制特型材7cm*3cm,壁厚1.2mm，ABS塑料链接弯头，定做塑料件，70*50*3mm方钢管，除锈镀锌处理、厚8mm底板，配套底座等整套路名牌</w:t>
            </w:r>
            <w:r>
              <w:rPr>
                <w:rFonts w:hint="eastAsia" w:ascii="宋体" w:hAnsi="宋体" w:cs="宋体"/>
                <w:szCs w:val="21"/>
              </w:rPr>
              <w:br/>
              <w:t xml:space="preserve">3、工作内容：含挖土坑，立杆基础、安装路名牌、清理现场等</w:t>
            </w:r>
            <w:r>
              <w:rPr>
                <w:rFonts w:hint="eastAsia" w:ascii="宋体" w:hAnsi="宋体" w:cs="宋体"/>
                <w:szCs w:val="21"/>
              </w:rPr>
              <w:br/>
              <w:t xml:space="preserve">4、工作量计量规则：按套”计算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1770.61</w:t>
            </w:r>
            <w:r/>
          </w:p>
        </w:tc>
      </w:tr>
      <w:tr>
        <w:trPr>
          <w:trHeight w:val="288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路名牌更换(更换牌板）</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1、结构形式:双面路名牌，单面厚度2mm、1250*350 mm</w:t>
            </w:r>
            <w:r>
              <w:rPr>
                <w:rFonts w:hint="eastAsia" w:ascii="宋体" w:hAnsi="宋体" w:cs="宋体"/>
                <w:szCs w:val="21"/>
              </w:rPr>
              <w:br/>
              <w:t xml:space="preserve">2、规格、尺寸：126cm*36cm铝板（1.5mm厚），整套路牌喷塑、装配零部件，铝制特型材7cm*3cm,壁厚1.2mm，ABS塑料链接弯头，定做塑料件等</w:t>
            </w:r>
            <w:r>
              <w:rPr>
                <w:rFonts w:hint="eastAsia" w:ascii="宋体" w:hAnsi="宋体" w:cs="宋体"/>
                <w:szCs w:val="21"/>
              </w:rPr>
              <w:br/>
              <w:t xml:space="preserve">3、工作内容：拆除原损坏路名牌，更换新路名牌</w:t>
            </w:r>
            <w:r>
              <w:rPr>
                <w:rFonts w:hint="eastAsia" w:ascii="宋体" w:hAnsi="宋体" w:cs="宋体"/>
                <w:szCs w:val="21"/>
              </w:rPr>
              <w:br/>
              <w:t xml:space="preserve">4、工作量计量规则：按个数以“块”计算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1546.86</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路名牌贴膜</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1、结构形式:双面路名牌，更新表面膜，底膜采用反光膜（超强级）、字膜采用方光膜（超强级）</w:t>
            </w:r>
            <w:r>
              <w:rPr>
                <w:rFonts w:hint="eastAsia" w:ascii="宋体" w:hAnsi="宋体" w:cs="宋体"/>
                <w:szCs w:val="21"/>
              </w:rPr>
              <w:br/>
              <w:t xml:space="preserve">2、工作内容：清除路名牌表面旧贴膜，重新贴面</w:t>
            </w:r>
            <w:r>
              <w:rPr>
                <w:rFonts w:hint="eastAsia" w:ascii="宋体" w:hAnsi="宋体" w:cs="宋体"/>
                <w:szCs w:val="21"/>
              </w:rPr>
              <w:br/>
              <w:t xml:space="preserve">3、工作量计量规则：按个数以“块”计算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174.83</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路名牌除锈、油漆、加固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2、工作内容：路名牌除锈，油漆、加固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94.44</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路名牌除锈、加固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w:t>
            </w:r>
            <w:r>
              <w:rPr>
                <w:rFonts w:hint="eastAsia" w:ascii="宋体" w:hAnsi="宋体" w:cs="宋体"/>
                <w:szCs w:val="21"/>
              </w:rPr>
              <w:br/>
              <w:t xml:space="preserve">2、工作内容：路名牌除锈，加固</w:t>
            </w:r>
            <w:r>
              <w:rPr>
                <w:rFonts w:hint="eastAsia" w:ascii="宋体" w:hAnsi="宋体" w:cs="宋体"/>
                <w:szCs w:val="21"/>
              </w:rPr>
              <w:br/>
              <w:t xml:space="preserve">3、工作量计量规则：按个以“块”计算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78.75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路名牌更换立杆</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1、结构形式:现状路名牌，单根70*50*3mm方钢管立杆，表面防锈烤漆，立柱高2米</w:t>
            </w:r>
            <w:r>
              <w:rPr>
                <w:rFonts w:hint="eastAsia" w:ascii="宋体" w:hAnsi="宋体" w:cs="宋体"/>
                <w:szCs w:val="21"/>
              </w:rPr>
              <w:br/>
              <w:t xml:space="preserve">2、工作内容：更换路名牌立杆</w:t>
            </w:r>
            <w:r>
              <w:rPr>
                <w:rFonts w:hint="eastAsia" w:ascii="宋体" w:hAnsi="宋体" w:cs="宋体"/>
                <w:szCs w:val="21"/>
              </w:rPr>
              <w:br/>
              <w:t xml:space="preserve">3、工作量计量规则：按个以“根”计算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266.57</w:t>
            </w:r>
            <w:r/>
          </w:p>
        </w:tc>
      </w:tr>
      <w:tr>
        <w:trPr>
          <w:trHeight w:val="57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热熔标线</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1、材料品种：热熔标线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60.52</w:t>
            </w:r>
            <w:r/>
          </w:p>
        </w:tc>
      </w:tr>
      <w:tr>
        <w:trPr>
          <w:trHeight w:val="57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常温标线</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1、材料品种：常温标线</w:t>
            </w:r>
            <w:r>
              <w:rPr>
                <w:rFonts w:hint="eastAsia" w:ascii="宋体" w:hAnsi="宋体" w:cs="宋体"/>
                <w:szCs w:val="21"/>
              </w:rPr>
              <w:br/>
              <w:t xml:space="preserve">2、线型：实线</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24.21</w:t>
            </w:r>
            <w:r/>
          </w:p>
        </w:tc>
      </w:tr>
      <w:tr>
        <w:trPr>
          <w:trHeight w:val="28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清除标线</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1、清除方法：综合考虑</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80.69</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防滑条</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1、规格、材质：防滑铜条 3×40×1mm</w:t>
            </w:r>
            <w:r>
              <w:rPr>
                <w:rFonts w:hint="eastAsia" w:ascii="宋体" w:hAnsi="宋体" w:cs="宋体"/>
                <w:szCs w:val="21"/>
              </w:rPr>
              <w:br/>
              <w:t xml:space="preserve">2、工作内容：拆除原台阶金属防滑条，更换新防滑条</w:t>
            </w:r>
            <w:r>
              <w:rPr>
                <w:rFonts w:hint="eastAsia" w:ascii="宋体" w:hAnsi="宋体" w:cs="宋体"/>
                <w:szCs w:val="21"/>
              </w:rPr>
              <w:br/>
              <w:t xml:space="preserve">3、工作量计算规则：按米计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479.34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附着式标志牌</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2、材质、规格尺寸：圆形、三角形、矩形标志牌等，报价包括使用、维护、损耗等费用，材料残值归服务人。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389.77</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支架式标志牌</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1、类型：抱杆式标牌，牌面图案、文字根据现场情况及采购人要求确定</w:t>
            </w:r>
            <w:r>
              <w:rPr>
                <w:rFonts w:hint="eastAsia" w:ascii="宋体" w:hAnsi="宋体" w:cs="宋体"/>
                <w:szCs w:val="21"/>
              </w:rPr>
              <w:br/>
              <w:t xml:space="preserve">2、材质、规格尺寸：160*140cm标志牌，报价包括使用、维护、损耗等费用，材料残值归服务人。</w:t>
            </w:r>
            <w:r>
              <w:rPr>
                <w:rFonts w:hint="eastAsia" w:ascii="宋体" w:hAnsi="宋体" w:cs="宋体"/>
                <w:szCs w:val="21"/>
              </w:rPr>
              <w:br/>
              <w:t xml:space="preserve">3、工作内容：设置临时标志板，使用期间自行维护，使用期结束后拆除</w:t>
            </w:r>
            <w:r>
              <w:rPr>
                <w:rFonts w:hint="eastAsia" w:ascii="宋体" w:hAnsi="宋体" w:cs="宋体"/>
                <w:szCs w:val="21"/>
              </w:rPr>
              <w:br/>
              <w:t xml:space="preserve">4、工作量计算规则：按“块”计，尺寸不一按面积折算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块</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403.45</w:t>
            </w:r>
            <w:r/>
          </w:p>
        </w:tc>
      </w:tr>
      <w:tr>
        <w:trPr>
          <w:trHeight w:val="57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计日工</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按工日计，每个工日8个小时，不足8个小时折算工日</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工日</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172.14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栏杆（更新）</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3、工作内容：拆除原破损栏凳，清理现场，废料弃置，材料残值归服务人</w:t>
            </w:r>
            <w:r>
              <w:rPr>
                <w:rFonts w:hint="eastAsia" w:ascii="宋体" w:hAnsi="宋体" w:cs="宋体"/>
                <w:szCs w:val="21"/>
              </w:rPr>
              <w:br/>
              <w:t xml:space="preserve">4、工作量计算规则：按花岗岩体积以“立方米”计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m3</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6495.92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栏杆（维修）</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1、类型：花岗岩栏凳</w:t>
            </w:r>
            <w:r>
              <w:rPr>
                <w:rFonts w:hint="eastAsia" w:ascii="宋体" w:hAnsi="宋体" w:cs="宋体"/>
                <w:szCs w:val="21"/>
              </w:rPr>
              <w:br/>
              <w:t xml:space="preserve">2、材质、规格尺寸：尺寸规格综合考虑</w:t>
            </w:r>
            <w:r>
              <w:rPr>
                <w:rFonts w:hint="eastAsia" w:ascii="宋体" w:hAnsi="宋体" w:cs="宋体"/>
                <w:szCs w:val="21"/>
              </w:rPr>
              <w:br/>
              <w:t xml:space="preserve">3、工作内容：破损栏凳维修，松动脱落部位粘结加固</w:t>
            </w:r>
            <w:r>
              <w:rPr>
                <w:rFonts w:hint="eastAsia" w:ascii="宋体" w:hAnsi="宋体" w:cs="宋体"/>
                <w:szCs w:val="21"/>
              </w:rPr>
              <w:br/>
              <w:t xml:space="preserve">4、工作量计算规则：按栏凳长度以“米”计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256.66</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104</w:t>
            </w:r>
            <w:r/>
          </w:p>
        </w:tc>
        <w:tc>
          <w:tcPr>
            <w:tcBorders>
              <w:top w:val="none" w:color="000000" w:sz="4" w:space="0"/>
              <w:left w:val="none" w:color="000000" w:sz="4" w:space="0"/>
              <w:bottom w:val="single" w:color="auto" w:sz="4" w:space="0"/>
              <w:right w:val="single" w:color="auto"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设施维护手续办理费用</w:t>
            </w:r>
            <w:r/>
          </w:p>
        </w:tc>
        <w:tc>
          <w:tcPr>
            <w:tcBorders>
              <w:top w:val="none" w:color="000000" w:sz="4" w:space="0"/>
              <w:left w:val="none" w:color="000000" w:sz="4" w:space="0"/>
              <w:bottom w:val="single" w:color="auto" w:sz="4" w:space="0"/>
              <w:right w:val="single" w:color="auto"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1、用于因设施维护并按采购人要求进行绿化迁移、管线迁移等产生的费用</w:t>
            </w:r>
            <w:r>
              <w:rPr>
                <w:rFonts w:hint="eastAsia" w:ascii="宋体" w:hAnsi="宋体" w:cs="宋体"/>
                <w:szCs w:val="21"/>
              </w:rPr>
              <w:br/>
              <w:t xml:space="preserve">2、</w:t>
            </w:r>
            <w:r>
              <w:rPr>
                <w:rFonts w:hint="eastAsia" w:ascii="宋体" w:hAnsi="宋体" w:cs="宋体"/>
                <w:b/>
                <w:bCs/>
                <w:szCs w:val="21"/>
              </w:rPr>
              <w:t xml:space="preserve">不可竞争</w:t>
            </w:r>
            <w:r>
              <w:rPr>
                <w:rFonts w:hint="eastAsia" w:ascii="宋体" w:hAnsi="宋体" w:cs="宋体"/>
                <w:szCs w:val="21"/>
              </w:rPr>
              <w:t xml:space="preserve">，按实结算</w:t>
            </w:r>
            <w:r/>
          </w:p>
        </w:tc>
        <w:tc>
          <w:tcPr>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r>
      <w:tr>
        <w:trPr>
          <w:trHeight w:val="28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000000" w:sz="4" w:space="0"/>
              <w:left w:val="none" w:color="000000" w:sz="4" w:space="0"/>
              <w:bottom w:val="single" w:color="000000" w:sz="4" w:space="0"/>
              <w:right w:val="single" w:color="000000" w:sz="4" w:space="0"/>
            </w:tcBorders>
            <w:tcW w:w="563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第三部分 专项维护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碎石垫层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2、石料规格：15cm厚碎石</w:t>
            </w:r>
            <w:r>
              <w:rPr>
                <w:rFonts w:hint="eastAsia" w:ascii="宋体" w:hAnsi="宋体" w:cs="宋体"/>
                <w:szCs w:val="21"/>
              </w:rPr>
              <w:br/>
              <w:t xml:space="preserve">3、维护方式：拆除原碎石垫层，废料外运弃置；放线、清理路槽、摊铺、找平、洒水、碾压</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67.24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车行道水泥稳定碎石摊铺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2、水泥稳定碎石厚：20cm水泥稳定碎石</w:t>
            </w:r>
            <w:r>
              <w:rPr>
                <w:rFonts w:hint="eastAsia" w:ascii="宋体" w:hAnsi="宋体" w:cs="宋体"/>
                <w:szCs w:val="21"/>
              </w:rPr>
              <w:br/>
              <w:t xml:space="preserve">2、维护内容：拆除20cm原水泥稳定碎石基层，废料外运弃置；拆除时不扰动未拆除部分；摊铺水泥稳定碎石，水泥剂量4%，覆盖养生</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134.3</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C20混凝土基层修复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2、厚度：20cmC20砼基层</w:t>
            </w:r>
            <w:r>
              <w:rPr>
                <w:rFonts w:hint="eastAsia" w:ascii="宋体" w:hAnsi="宋体" w:cs="宋体"/>
                <w:szCs w:val="21"/>
              </w:rPr>
              <w:br/>
              <w:t xml:space="preserve">3、维护内容：拆除20cm原混凝土面层，废料外运弃置；拆除时不扰动未拆除部分；浇筑C20水泥混凝土，覆盖养生</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163.14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C30混凝土基层修复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2、厚度：20cmC30砼基层</w:t>
            </w:r>
            <w:r>
              <w:rPr>
                <w:rFonts w:hint="eastAsia" w:ascii="宋体" w:hAnsi="宋体" w:cs="宋体"/>
                <w:szCs w:val="21"/>
              </w:rPr>
              <w:br/>
              <w:t xml:space="preserve">3、维护内容：拆除20cm原混凝土面层，废料外运弃置；拆除时不扰动未拆除部分；浇筑C30水泥混凝土，覆盖养生</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166.94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车行道干硬性碾压式C30砼基层修复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2、厚度：15cm干硬性碾压式C30砼</w:t>
            </w:r>
            <w:r>
              <w:rPr>
                <w:rFonts w:hint="eastAsia" w:ascii="宋体" w:hAnsi="宋体" w:cs="宋体"/>
                <w:szCs w:val="21"/>
              </w:rPr>
              <w:br/>
              <w:t xml:space="preserve">3、维护内容：拆除厚度15cm，废料外运弃置；拆除时不扰动未拆除部分；摊铺C30干硬性碾压式混凝土，养生、清理现场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117.91</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车行道干硬性碾压式C50砼基层修复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1、工作量计算：按面积以“m2”计算,厚度不一致折算处理</w:t>
            </w:r>
            <w:r>
              <w:rPr>
                <w:rFonts w:hint="eastAsia" w:ascii="宋体" w:hAnsi="宋体" w:cs="宋体"/>
                <w:szCs w:val="21"/>
              </w:rPr>
              <w:br/>
              <w:t xml:space="preserve">2、厚度：15cm干硬性碾压式C50砼</w:t>
            </w:r>
            <w:r>
              <w:rPr>
                <w:rFonts w:hint="eastAsia" w:ascii="宋体" w:hAnsi="宋体" w:cs="宋体"/>
                <w:szCs w:val="21"/>
              </w:rPr>
              <w:br/>
              <w:t xml:space="preserve">3、维护内容：拆除厚度15cm，废料外运弃置；拆除时不扰动未拆除部分；摊铺C50干硬性碾压式混凝土，养生、清理现场</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133.92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车行道粗粒式沥青砼AC-25C修复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2、维护方式：铣刨厚度6cm沥青砼，废料外运弃置；重新修复沥青砼路面</w:t>
            </w:r>
            <w:r>
              <w:rPr>
                <w:rFonts w:hint="eastAsia" w:ascii="宋体" w:hAnsi="宋体" w:cs="宋体"/>
                <w:szCs w:val="21"/>
              </w:rPr>
              <w:br/>
              <w:t xml:space="preserve">3、面层材质：6cm粗粒式沥青砼AC-25C，石灰岩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车行道粗粒式沥青砼SUP-25修复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2、维护方式：铣刨厚度6cm沥青砼；重新修复沥青砼路面</w:t>
            </w:r>
            <w:r>
              <w:rPr>
                <w:rFonts w:hint="eastAsia" w:ascii="宋体" w:hAnsi="宋体" w:cs="宋体"/>
                <w:szCs w:val="21"/>
              </w:rPr>
              <w:br/>
              <w:t xml:space="preserve">3、面层材质：6cm粗粒式沥青砼SUP-25，石灰岩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82.64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2、维护方式：铣刨厚度6cm沥青砼，拆除时不扰动未拆除部分；重新修复沥青砼路面</w:t>
            </w:r>
            <w:r>
              <w:rPr>
                <w:rFonts w:hint="eastAsia" w:ascii="宋体" w:hAnsi="宋体" w:cs="宋体"/>
                <w:szCs w:val="21"/>
              </w:rPr>
              <w:br/>
              <w:t xml:space="preserve">3、面层材质：6cm中粒式沥青砼AC-20C或SUP-20，石灰岩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84.56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车行道中粒式沥青砼修复增加抗车辙剂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1、工作量计算规则：按面积以“平方米”计，对应清单“车行道中粒式沥青砼修复”，厚度6cm，如厚度不一致折算处理</w:t>
            </w:r>
            <w:r>
              <w:rPr>
                <w:rFonts w:hint="eastAsia" w:ascii="宋体" w:hAnsi="宋体" w:cs="宋体"/>
                <w:szCs w:val="21"/>
              </w:rPr>
              <w:br/>
              <w:t xml:space="preserve">2、维护方式：车行道中粒式沥青砼修复，增加抗车辙剂，添加量0.2~0.4%（质量比）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6.51</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2、维护方式:拆除厚度4cm沥青砼，拆除时不扰动未拆除部分；拆除废料外运弃置，重新修复沥青砼路面</w:t>
            </w:r>
            <w:r>
              <w:rPr>
                <w:rFonts w:hint="eastAsia" w:ascii="宋体" w:hAnsi="宋体" w:cs="宋体"/>
                <w:szCs w:val="21"/>
              </w:rPr>
              <w:br/>
              <w:t xml:space="preserve">3、面层材质：4cm细粒式沥青砼AC-13C，玄武岩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77.18</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沥青砼AC-13C修复-厚度调整清单</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1、工作量计算规则：按面积以“平方米”计，每0.5cm厚度增减费，对应清单“车行道细粒式沥青砼AC-13C修复”</w:t>
            </w:r>
            <w:r>
              <w:rPr>
                <w:rFonts w:hint="eastAsia" w:ascii="宋体" w:hAnsi="宋体" w:cs="宋体"/>
                <w:szCs w:val="21"/>
              </w:rPr>
              <w:br/>
              <w:t xml:space="preserve">2、维护方式:车行道细粒式沥青砼AC-13C修复，厚度调整，含拆除料外运弃置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9.91</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沥青玛蹄脂碎石SMA-13修复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1、工作量计算规则：按面积以“平方米”计，如厚度不一致按厚度调整清单调整</w:t>
            </w:r>
            <w:r>
              <w:rPr>
                <w:rFonts w:hint="eastAsia" w:ascii="宋体" w:hAnsi="宋体" w:cs="宋体"/>
                <w:szCs w:val="21"/>
              </w:rPr>
              <w:br/>
              <w:t xml:space="preserve">2、维护方式:拆除厚度4cm沥青砼面层，拆除时不扰动未拆除部分，拆除废料外运弃置；重新修复沥青砼路面</w:t>
            </w:r>
            <w:r>
              <w:rPr>
                <w:rFonts w:hint="eastAsia" w:ascii="宋体" w:hAnsi="宋体" w:cs="宋体"/>
                <w:szCs w:val="21"/>
              </w:rPr>
              <w:br/>
              <w:t xml:space="preserve">3、面层材质：4cm细粒式沥青砼SMA-13，玄武岩</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88.69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沥青玛蹄脂混合料SMA-13修复-厚度调整清单</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1、工作量计算规则：按面积以“平方米”计，每0.5cm厚度增减费对应清单“车行道沥青玛蹄脂混合料SMA-13修复”</w:t>
            </w:r>
            <w:r>
              <w:rPr>
                <w:rFonts w:hint="eastAsia" w:ascii="宋体" w:hAnsi="宋体" w:cs="宋体"/>
                <w:szCs w:val="21"/>
              </w:rPr>
              <w:br/>
              <w:t xml:space="preserve">2、维护方式:车行道沥青玛蹄脂混合料SMA-13修复，厚度调整，含拆除料外运弃置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11.35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沥青砼修复-增加SBS改性剂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2、维护方式：对应清单“车行道细粒式沥青砼AC-13C修复”或“沥青玛蹄脂碎石SMA-13修复”，细粒式沥青砼AC-13C修复，增加SBS改性剂</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9.5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沥青砼修复-增加抗剥落剂</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2、维护方式：对应清单“车行道细粒式沥青砼AC-13C修复”或“沥青玛蹄脂碎石SMA-13修复”，增加抗剥落剂，添加量（沥青）0.2%~0.4%(质量比）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0.33</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沥青砼修复-增加聚酯纤维</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2、维护方式：对应清单“车行道细粒式沥青砼AC-13C修复”或“沥青玛蹄脂碎石SMA-13修复”，增加聚酯纤维，添加量（混合料）0.3%~0.4%(质量比）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5.09</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车行道封层修复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2、维护方式：铺设封层</w:t>
            </w:r>
            <w:r>
              <w:rPr>
                <w:rFonts w:hint="eastAsia" w:ascii="宋体" w:hAnsi="宋体" w:cs="宋体"/>
                <w:szCs w:val="21"/>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10.01</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半柔性路面修复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1、工作量计算规则：按面积以“平方米”计，如厚度不一致折算处理</w:t>
            </w:r>
            <w:r>
              <w:rPr>
                <w:rFonts w:hint="eastAsia" w:ascii="宋体" w:hAnsi="宋体" w:cs="宋体"/>
                <w:szCs w:val="21"/>
              </w:rPr>
              <w:br/>
              <w:t xml:space="preserve">2、维护方式:拆除厚度5cm沥青砼，拆除时不扰动未拆除部分,拆除废料外运弃置；重新修复路面，大空隙沥青砼关注高流动性水泥基浆，压实，清理现场</w:t>
            </w:r>
            <w:r>
              <w:rPr>
                <w:rFonts w:hint="eastAsia" w:ascii="宋体" w:hAnsi="宋体" w:cs="宋体"/>
                <w:szCs w:val="21"/>
              </w:rPr>
              <w:br/>
              <w:t xml:space="preserve">3、面层材质：半柔性路面大孔隙沥青砼-PFC-13（玄武岩），半柔性路面材料层灌浆材料、沥青增强改性剂，厚度5cm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1750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266.93</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车行道路面沥青灌缝</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2、维护方式：清除缝隙垃圾杂物、烘干、采用石油沥青灌缝、清理。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3.47</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车行道沥青路面密封胶灌缝</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1、工作量计算规则：按实际长度以”米“计</w:t>
            </w:r>
            <w:r>
              <w:rPr>
                <w:rFonts w:hint="eastAsia" w:ascii="宋体" w:hAnsi="宋体" w:cs="宋体"/>
                <w:szCs w:val="21"/>
              </w:rPr>
              <w:br/>
              <w:t xml:space="preserve">2、灌缝材料：专用沥青密封胶</w:t>
            </w:r>
            <w:r>
              <w:rPr>
                <w:rFonts w:hint="eastAsia" w:ascii="宋体" w:hAnsi="宋体" w:cs="宋体"/>
                <w:szCs w:val="21"/>
              </w:rPr>
              <w:br/>
              <w:t xml:space="preserve">3、维护方式：清理缝面、灌密封胶、路面清扫等</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21.39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车行道粘层喷洒</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2、维护内容：清扫路基，运油、加热、洒布机（人工手泵）喷油、移动挡板（或遮盖物）保护侧缘石</w:t>
            </w:r>
            <w:r>
              <w:rPr>
                <w:rFonts w:hint="eastAsia" w:ascii="宋体" w:hAnsi="宋体" w:cs="宋体"/>
                <w:szCs w:val="21"/>
              </w:rPr>
              <w:br/>
              <w:t xml:space="preserve">3、面层材质：0.8kg/m2乳化沥青</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140000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4.16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铺设土工格栅</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2、维护内容：清理整平路基、铺设土工格栅、固定土工格栅、场内取运料</w:t>
            </w:r>
            <w:r>
              <w:rPr>
                <w:rFonts w:hint="eastAsia" w:ascii="宋体" w:hAnsi="宋体" w:cs="宋体"/>
                <w:szCs w:val="21"/>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18.3</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铺设抗裂贴</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2、维护内容：清理整平路基、铺设自黏式防裂贴、固定自黏式防裂贴、场内取运料</w:t>
            </w:r>
            <w:r>
              <w:rPr>
                <w:rFonts w:hint="eastAsia" w:ascii="宋体" w:hAnsi="宋体" w:cs="宋体"/>
                <w:szCs w:val="21"/>
              </w:rPr>
              <w:br/>
              <w:t xml:space="preserve">3、面层材质：自黏式防裂贴</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25.57</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铺设防渗土工布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2、维护内容：清理整平路基、挖填锚固沟、铺设土工布、缝合及锚固土工布</w:t>
            </w:r>
            <w:r>
              <w:rPr>
                <w:rFonts w:hint="eastAsia" w:ascii="宋体" w:hAnsi="宋体" w:cs="宋体"/>
                <w:szCs w:val="21"/>
              </w:rPr>
              <w:br/>
              <w:t xml:space="preserve">3、面层材质：防渗土工布</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15.56</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铺设碳纤维布</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1、工作量计算规则：按面积以“平方米”计</w:t>
            </w:r>
            <w:r>
              <w:rPr>
                <w:rFonts w:hint="eastAsia" w:ascii="宋体" w:hAnsi="宋体" w:cs="宋体"/>
                <w:szCs w:val="21"/>
              </w:rPr>
              <w:br/>
              <w:t xml:space="preserve">2、维护内容：清理整平路基、挖填锚固沟、铺设碳纤维布、缝合及锚固碳纤维布</w:t>
            </w:r>
            <w:r>
              <w:rPr>
                <w:rFonts w:hint="eastAsia" w:ascii="宋体" w:hAnsi="宋体" w:cs="宋体"/>
                <w:szCs w:val="21"/>
              </w:rPr>
              <w:br/>
              <w:t xml:space="preserve">3、面层材质：碳纤维布</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8.12</w:t>
            </w:r>
            <w:r/>
          </w:p>
        </w:tc>
      </w:tr>
      <w:tr>
        <w:trPr>
          <w:trHeight w:val="115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混凝土路面钢筋网片</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1、工作量计算规则：按重量以“吨”计</w:t>
            </w:r>
            <w:r>
              <w:rPr>
                <w:rFonts w:hint="eastAsia" w:ascii="宋体" w:hAnsi="宋体" w:cs="宋体"/>
                <w:szCs w:val="21"/>
              </w:rPr>
              <w:br/>
              <w:t xml:space="preserve">2、维护内容：钢筋除锈， 安装角隅加固钢筋、钢筋网</w:t>
            </w:r>
            <w:r>
              <w:rPr>
                <w:rFonts w:hint="eastAsia" w:ascii="宋体" w:hAnsi="宋体" w:cs="宋体"/>
                <w:szCs w:val="21"/>
              </w:rPr>
              <w:br/>
              <w:t xml:space="preserve">3、面层材质：HRB400钢筋</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t</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6446.74</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路基注浆加固</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1、工作量计算规则：按实际加固道路面积以“m2”计算，孔间距不一致按每平方米孔数折算</w:t>
            </w:r>
            <w:r>
              <w:rPr>
                <w:rFonts w:hint="eastAsia" w:ascii="宋体" w:hAnsi="宋体" w:cs="宋体"/>
                <w:szCs w:val="21"/>
              </w:rPr>
              <w:br/>
              <w:t xml:space="preserve">2、维护方式：注浆孔间距1.5m，加固有效深度50cm，松软路基注浆加固，注浆压力值控制在0.5~1.0MPa，压力超过1.0MPa，停止注浆。注浆完成后残留路面灰浆清扫、清除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135.03</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2、工作内容：拆除原有仿石陶瓷砖及粘结层；拆除废料清理并运输弃置；原垫层找平,砖背面0.5cm水泥净浆，2.5cm1:3干拌水泥砂浆，使用原仿石陶瓷砖铺设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88.45</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现状人行道仿石陶瓷砖破损，断裂、破旧部位</w:t>
            </w:r>
            <w:r>
              <w:rPr>
                <w:rFonts w:hint="eastAsia" w:ascii="宋体" w:hAnsi="宋体" w:cs="宋体"/>
                <w:szCs w:val="21"/>
              </w:rPr>
              <w:br/>
              <w:t xml:space="preserve">2、工作内容：对应清单“人行道仿石陶瓷砖修复”，采用新购材料铺设，拆除废料外运弃置</w:t>
            </w:r>
            <w:r>
              <w:rPr>
                <w:rFonts w:hint="eastAsia" w:ascii="宋体" w:hAnsi="宋体" w:cs="宋体"/>
                <w:szCs w:val="21"/>
              </w:rPr>
              <w:br/>
              <w:t xml:space="preserve">3、材料、材质：18mm厚仿石陶瓷砖</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101.54</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人行道路面砖修复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2、工作内容：拆除原有面砖及粘结层；拆除废料清理并运输弃置；3cm干硬性水泥砂浆重新铺设，使用原路面砖铺设</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40.95</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人行道砼道板砖修复材料费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3、材料、材质：6cm砼路面砖（盲道砖综合考虑）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71.57</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129.73</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人行道仿石陶瓷透水砖修复材料费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现状人行道路面砖破损，断裂、破旧部位</w:t>
            </w:r>
            <w:r>
              <w:rPr>
                <w:rFonts w:hint="eastAsia" w:ascii="宋体" w:hAnsi="宋体" w:cs="宋体"/>
                <w:szCs w:val="21"/>
              </w:rPr>
              <w:br/>
              <w:t xml:space="preserve">2、工作内容：对应清单“人行道路面砖修复”，铺设新购材料，拆除废料外运弃置</w:t>
            </w:r>
            <w:r>
              <w:rPr>
                <w:rFonts w:hint="eastAsia" w:ascii="宋体" w:hAnsi="宋体" w:cs="宋体"/>
                <w:szCs w:val="21"/>
              </w:rPr>
              <w:br/>
              <w:t xml:space="preserve">3、材料、材质：5.5cm仿石陶瓷透水砖（盲道砖综合考虑）</w:t>
            </w:r>
            <w:r>
              <w:rPr>
                <w:rFonts w:hint="eastAsia" w:ascii="宋体" w:hAnsi="宋体" w:cs="宋体"/>
                <w:szCs w:val="21"/>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160.12</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花岗岩板松动，错块，凸出，沉陷部位</w:t>
            </w:r>
            <w:r>
              <w:rPr>
                <w:rFonts w:hint="eastAsia" w:ascii="宋体" w:hAnsi="宋体" w:cs="宋体"/>
                <w:szCs w:val="21"/>
              </w:rPr>
              <w:br/>
              <w:t xml:space="preserve">2、工作内容：拆除原有花岗岩板及粘结层，整理归集用于恢复路面；拆除废料清理并运输弃置；原垫层找平,3cm干硬性水泥砂浆重新铺设,使用原花岗岩板</w:t>
            </w:r>
            <w:r>
              <w:rPr>
                <w:rFonts w:hint="eastAsia" w:ascii="宋体" w:hAnsi="宋体" w:cs="宋体"/>
                <w:szCs w:val="21"/>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72.66</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3、材料、材质：新购4cm花岗岩石板，颜色（除黑色）综合考虑</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150.7</w:t>
            </w:r>
            <w:r/>
          </w:p>
        </w:tc>
      </w:tr>
      <w:tr>
        <w:trPr>
          <w:trHeight w:val="2592"/>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3、材料、材质：新购4cm花岗岩石板（黑色）</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230.78</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 花岗岩板破损，断裂、破旧部位</w:t>
            </w:r>
            <w:r>
              <w:rPr>
                <w:rFonts w:hint="eastAsia" w:ascii="宋体" w:hAnsi="宋体" w:cs="宋体"/>
                <w:szCs w:val="21"/>
              </w:rPr>
              <w:br/>
              <w:t xml:space="preserve">2、工作内容：对应清单“人行道花岗岩修复“，旧料外运弃置；使用新购花岗岩板</w:t>
            </w:r>
            <w:r>
              <w:rPr>
                <w:rFonts w:hint="eastAsia" w:ascii="宋体" w:hAnsi="宋体" w:cs="宋体"/>
                <w:szCs w:val="21"/>
              </w:rPr>
              <w:br/>
              <w:t xml:space="preserve">3、材料、材质：新购4cm花岗岩盲道板</w:t>
            </w:r>
            <w:r>
              <w:rPr>
                <w:rFonts w:hint="eastAsia" w:ascii="宋体" w:hAnsi="宋体" w:cs="宋体"/>
                <w:szCs w:val="21"/>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m2</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190.66</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34.62</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3、材料、材质：12.5*30cmC30砼侧石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62.16</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2、工作内容:对应清单“混凝土侧石修复”，新购侧石</w:t>
            </w:r>
            <w:r>
              <w:rPr>
                <w:rFonts w:hint="eastAsia" w:ascii="宋体" w:hAnsi="宋体" w:cs="宋体"/>
                <w:szCs w:val="21"/>
              </w:rPr>
              <w:br/>
              <w:t xml:space="preserve">3、材料、材质：10*25cmC30砼侧石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38.82</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21.52</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3、材料、材质：12.5*30cmC30砼平石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52.11</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2、工作内容:对应清单“混凝土平石修复”，旧料外运弃置；安砌新购平石</w:t>
            </w:r>
            <w:r>
              <w:rPr>
                <w:rFonts w:hint="eastAsia" w:ascii="宋体" w:hAnsi="宋体" w:cs="宋体"/>
                <w:szCs w:val="21"/>
              </w:rPr>
              <w:br/>
              <w:t xml:space="preserve">3、材料、材质：20*10cmC30砼平石</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32.23</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2、工作内容:拆除原有侧石及基础，侧石归集整理；拆除废料清理并运输弃置，铺设侧石5cm厚C20砼基础及C20砼靠背</w:t>
            </w:r>
            <w:r>
              <w:rPr>
                <w:rFonts w:hint="eastAsia" w:ascii="宋体" w:hAnsi="宋体" w:cs="宋体"/>
                <w:szCs w:val="21"/>
              </w:rPr>
              <w:br/>
              <w:t xml:space="preserve">，使用原侧石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40.81</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135.84</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3、材料、材质：新购30*12.5*100cm花岗岩侧石(圆弧形）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r>
      <w:tr>
        <w:trPr>
          <w:trHeight w:val="1440"/>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1、部位：平石破损、松动、断裂部位</w:t>
            </w:r>
            <w:r>
              <w:rPr>
                <w:rFonts w:hint="eastAsia" w:ascii="宋体" w:hAnsi="宋体" w:cs="宋体"/>
                <w:szCs w:val="21"/>
              </w:rPr>
              <w:br/>
              <w:t xml:space="preserve">2、工作内容:拆除原有平石及基础，平石归集整理；拆除废料清理并运输弃置，铺设平石5cm厚C20砼基础，使用原平石</w:t>
            </w:r>
            <w:r>
              <w:rPr>
                <w:rFonts w:hint="eastAsia" w:ascii="宋体" w:hAnsi="宋体" w:cs="宋体"/>
                <w:szCs w:val="21"/>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49</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138.2</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2、工作内容:对应清单“花岗岩平石修复”，新购平石</w:t>
            </w:r>
            <w:r>
              <w:rPr>
                <w:rFonts w:hint="eastAsia" w:ascii="宋体" w:hAnsi="宋体" w:cs="宋体"/>
                <w:szCs w:val="21"/>
              </w:rPr>
              <w:br/>
              <w:t xml:space="preserve">3、材料、材质：新购30*12.5*100cm花岗岩平石(圆形）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253.5</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51</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1、材质：利用拆除的树穴花岗岩侧石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3、工作内容:拆除旧侧石及基础，拆除废料清理并运输弃置</w:t>
            </w:r>
            <w:r>
              <w:rPr>
                <w:rFonts w:hint="eastAsia" w:ascii="宋体" w:hAnsi="宋体" w:cs="宋体"/>
                <w:szCs w:val="21"/>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22.9</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52</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花岗岩树穴侧石修复材料费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1、部位：侧石破损、松动、断裂部位</w:t>
            </w:r>
            <w:r>
              <w:rPr>
                <w:rFonts w:hint="eastAsia" w:ascii="宋体" w:hAnsi="宋体" w:cs="宋体"/>
                <w:szCs w:val="21"/>
              </w:rPr>
              <w:br/>
              <w:t xml:space="preserve">2、工作内容:对应清单“花岗岩侧石修复”，新购侧石</w:t>
            </w:r>
            <w:r>
              <w:rPr>
                <w:rFonts w:hint="eastAsia" w:ascii="宋体" w:hAnsi="宋体" w:cs="宋体"/>
                <w:szCs w:val="21"/>
              </w:rPr>
              <w:br/>
              <w:t xml:space="preserve">3、材料、材质：新购10*15cm花岗岩侧石（直形）</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66.25</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花岗岩侧石修复（库存料）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1、材质：库存花岗岩侧石</w:t>
            </w:r>
            <w:r>
              <w:rPr>
                <w:rFonts w:hint="eastAsia" w:ascii="宋体" w:hAnsi="宋体" w:cs="宋体"/>
                <w:szCs w:val="21"/>
              </w:rPr>
              <w:br/>
              <w:t xml:space="preserve">2、基础:5cm厚C20砼基础及C20砼靠背</w:t>
            </w:r>
            <w:r>
              <w:rPr>
                <w:rFonts w:hint="eastAsia" w:ascii="宋体" w:hAnsi="宋体" w:cs="宋体"/>
                <w:szCs w:val="21"/>
              </w:rPr>
              <w:br/>
              <w:t xml:space="preserve">3、工作内容:拆除原有侧石及基础，侧石归集整理；拆除废料清理并运输弃置，铺设侧石5cm厚C20砼基础及C20砼靠背，使用库存料，含出库、运输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30.02</w:t>
            </w:r>
            <w:r/>
          </w:p>
        </w:tc>
      </w:tr>
      <w:tr>
        <w:trPr>
          <w:trHeight w:val="2016"/>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54</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1、材质：库存花岗岩平石</w:t>
            </w:r>
            <w:r>
              <w:rPr>
                <w:rFonts w:hint="eastAsia" w:ascii="宋体" w:hAnsi="宋体" w:cs="宋体"/>
                <w:szCs w:val="21"/>
              </w:rPr>
              <w:br/>
              <w:t xml:space="preserve">2、基础:5cm厚C20砼基础</w:t>
            </w:r>
            <w:r>
              <w:rPr>
                <w:rFonts w:hint="eastAsia" w:ascii="宋体" w:hAnsi="宋体" w:cs="宋体"/>
                <w:szCs w:val="21"/>
              </w:rPr>
              <w:br/>
              <w:t xml:space="preserve">3、工作内容:拆除原有平石及基础，平石归集整理；拆除废料清理并运输弃置，铺设平石5cm厚C20砼基础，使用库存料，含出库、运输</w:t>
            </w:r>
            <w:r>
              <w:rPr>
                <w:rFonts w:hint="eastAsia" w:ascii="宋体" w:hAnsi="宋体" w:cs="宋体"/>
                <w:szCs w:val="21"/>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50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32.32</w:t>
            </w:r>
            <w:r/>
          </w:p>
        </w:tc>
      </w:tr>
      <w:tr>
        <w:trPr>
          <w:trHeight w:val="230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55</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雨水口新砌</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1、雨水箅子及圈口材质、型号、规格：350*550球墨铸铁雨水井蓖座</w:t>
            </w:r>
            <w:r>
              <w:rPr>
                <w:rFonts w:hint="eastAsia" w:ascii="宋体" w:hAnsi="宋体" w:cs="宋体"/>
                <w:szCs w:val="21"/>
              </w:rPr>
              <w:br/>
              <w:t xml:space="preserve">2、垫层、基础材质及厚度：碎石垫层，C25混凝土基础</w:t>
            </w:r>
            <w:r>
              <w:rPr>
                <w:rFonts w:hint="eastAsia" w:ascii="宋体" w:hAnsi="宋体" w:cs="宋体"/>
                <w:szCs w:val="21"/>
              </w:rPr>
              <w:br/>
              <w:t xml:space="preserve">3、砌筑材料品种、规格：MU10水泥砂浆砖砌MU10砖</w:t>
            </w:r>
            <w:r>
              <w:rPr>
                <w:rFonts w:hint="eastAsia" w:ascii="宋体" w:hAnsi="宋体" w:cs="宋体"/>
                <w:szCs w:val="21"/>
              </w:rPr>
              <w:br/>
              <w:t xml:space="preserve">4、砂浆强度等级及配合比：1：2水泥砂浆抹面</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座</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1398.5</w:t>
            </w:r>
            <w:r/>
          </w:p>
        </w:tc>
      </w:tr>
      <w:tr>
        <w:trPr>
          <w:trHeight w:val="864"/>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56</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执勤费</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1、工作量计算规则：以“人*月”为单位，费用自行测算， 按实际数量结算</w:t>
            </w:r>
            <w:r>
              <w:rPr>
                <w:rFonts w:hint="eastAsia" w:ascii="宋体" w:hAnsi="宋体" w:cs="宋体"/>
                <w:szCs w:val="21"/>
              </w:rPr>
              <w:br/>
              <w:t xml:space="preserve">2、维护内容：交通执勤</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人*月</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4500</w:t>
            </w:r>
            <w:r/>
          </w:p>
        </w:tc>
      </w:tr>
      <w:tr>
        <w:trPr>
          <w:trHeight w:val="1728"/>
        </w:trPr>
        <w:tc>
          <w:tcPr>
            <w:tcBorders>
              <w:top w:val="none" w:color="000000" w:sz="4" w:space="0"/>
              <w:left w:val="single" w:color="000000" w:sz="8" w:space="0"/>
              <w:bottom w:val="single" w:color="000000" w:sz="4" w:space="0"/>
              <w:right w:val="single" w:color="000000"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57</w:t>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固定围挡</w:t>
            </w:r>
            <w:r/>
          </w:p>
        </w:tc>
        <w:tc>
          <w:tcPr>
            <w:tcBorders>
              <w:top w:val="none" w:color="000000" w:sz="4" w:space="0"/>
              <w:left w:val="none" w:color="000000" w:sz="4" w:space="0"/>
              <w:bottom w:val="single" w:color="000000" w:sz="4" w:space="0"/>
              <w:right w:val="single" w:color="000000"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1、工作量计算规则：按长以“米”计</w:t>
            </w:r>
            <w:r>
              <w:rPr>
                <w:rFonts w:hint="eastAsia" w:ascii="宋体" w:hAnsi="宋体" w:cs="宋体"/>
                <w:szCs w:val="21"/>
              </w:rPr>
              <w:br/>
              <w:t xml:space="preserve">2、维护内容：安装高标准围挡、维护、维修围挡、拆除围挡，含喷淋、公益广告、宣传布告、绿挂等</w:t>
            </w:r>
            <w:r>
              <w:rPr>
                <w:rFonts w:hint="eastAsia" w:ascii="宋体" w:hAnsi="宋体" w:cs="宋体"/>
                <w:szCs w:val="21"/>
              </w:rPr>
              <w:br/>
              <w:t xml:space="preserve">3、材质：围挡规格满足苏州市区相关规定及采购人要求</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m</w:t>
            </w:r>
            <w:r/>
          </w:p>
        </w:tc>
        <w:tc>
          <w:tcPr>
            <w:tcBorders>
              <w:top w:val="none" w:color="000000" w:sz="4" w:space="0"/>
              <w:left w:val="non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1500</w:t>
            </w:r>
            <w:r/>
          </w:p>
        </w:tc>
        <w:tc>
          <w:tcPr>
            <w:tcBorders>
              <w:top w:val="none" w:color="000000" w:sz="4" w:space="0"/>
              <w:left w:val="none" w:color="000000" w:sz="4" w:space="0"/>
              <w:bottom w:val="single" w:color="000000" w:sz="4" w:space="0"/>
              <w:right w:val="single" w:color="000000"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325.38</w:t>
            </w:r>
            <w:r/>
          </w:p>
        </w:tc>
      </w:tr>
      <w:tr>
        <w:trPr>
          <w:trHeight w:val="288"/>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gridSpan w:val="2"/>
            <w:tcBorders>
              <w:top w:val="single" w:color="auto" w:sz="4" w:space="0"/>
              <w:left w:val="none" w:color="000000" w:sz="4" w:space="0"/>
              <w:bottom w:val="single" w:color="auto" w:sz="4" w:space="0"/>
              <w:right w:val="single" w:color="auto" w:sz="4" w:space="0"/>
            </w:tcBorders>
            <w:tcW w:w="563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第四部分 应急管理费</w:t>
            </w:r>
            <w:r/>
          </w:p>
        </w:tc>
        <w:tc>
          <w:tcPr>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　</w:t>
            </w:r>
            <w:r/>
          </w:p>
        </w:tc>
      </w:tr>
      <w:tr>
        <w:trPr>
          <w:trHeight w:val="1152"/>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594" w:type="dxa"/>
            <w:vAlign w:val="center"/>
            <w:textDirection w:val="lrTb"/>
            <w:noWrap w:val="false"/>
          </w:tcPr>
          <w:p>
            <w:pPr>
              <w:rPr>
                <w:rFonts w:hint="eastAsia" w:ascii="宋体" w:hAnsi="宋体" w:cs="宋体"/>
                <w:szCs w:val="21"/>
              </w:rPr>
            </w:pPr>
            <w:r>
              <w:rPr>
                <w:rFonts w:hint="eastAsia" w:ascii="宋体" w:hAnsi="宋体" w:cs="宋体"/>
                <w:szCs w:val="21"/>
              </w:rPr>
              <w:t xml:space="preserve">应急管理费</w:t>
            </w:r>
            <w:r/>
          </w:p>
        </w:tc>
        <w:tc>
          <w:tcPr>
            <w:tcBorders>
              <w:top w:val="none" w:color="000000" w:sz="4" w:space="0"/>
              <w:left w:val="none" w:color="000000" w:sz="4" w:space="0"/>
              <w:bottom w:val="single" w:color="auto" w:sz="4" w:space="0"/>
              <w:right w:val="single" w:color="auto" w:sz="4" w:space="0"/>
            </w:tcBorders>
            <w:tcW w:w="4045" w:type="dxa"/>
            <w:vAlign w:val="center"/>
            <w:textDirection w:val="lrTb"/>
            <w:noWrap w:val="false"/>
          </w:tcPr>
          <w:p>
            <w:pPr>
              <w:rPr>
                <w:rFonts w:hint="eastAsia" w:ascii="宋体" w:hAnsi="宋体" w:cs="宋体"/>
                <w:szCs w:val="21"/>
              </w:rPr>
            </w:pPr>
            <w:r>
              <w:rPr>
                <w:rFonts w:hint="eastAsia" w:ascii="宋体" w:hAnsi="宋体" w:cs="宋体"/>
                <w:szCs w:val="21"/>
              </w:rPr>
              <w:t xml:space="preserve">雨季、冰冻季和台风暴雨等灾害性天气气候的养护值班及应急处理；紧急、特殊情况的应急处理，应急演练、临时安排等（以招标文件及采购人要求为准）</w:t>
            </w:r>
            <w:r/>
          </w:p>
        </w:tc>
        <w:tc>
          <w:tcPr>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月</w:t>
            </w:r>
            <w:r/>
          </w:p>
        </w:tc>
        <w:tc>
          <w:tcPr>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20000</w:t>
            </w:r>
            <w:r/>
          </w:p>
        </w:tc>
      </w:tr>
      <w:tr>
        <w:trPr>
          <w:trHeight w:val="734"/>
        </w:trPr>
        <w:tc>
          <w:tcPr>
            <w:gridSpan w:val="5"/>
            <w:tcBorders>
              <w:top w:val="single" w:color="auto" w:sz="4" w:space="0"/>
              <w:left w:val="single" w:color="auto" w:sz="4" w:space="0"/>
              <w:bottom w:val="single" w:color="auto" w:sz="4" w:space="0"/>
              <w:right w:val="single" w:color="auto" w:sz="4" w:space="0"/>
            </w:tcBorders>
            <w:tcW w:w="812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none" w:color="000000" w:sz="4" w:space="0"/>
              <w:bottom w:val="single" w:color="auto" w:sz="4" w:space="0"/>
              <w:right w:val="single" w:color="auto" w:sz="4" w:space="0"/>
            </w:tcBorders>
            <w:tcW w:w="1318" w:type="dxa"/>
            <w:vAlign w:val="center"/>
            <w:textDirection w:val="lrTb"/>
            <w:noWrap w:val="false"/>
          </w:tcPr>
          <w:p>
            <w:pPr>
              <w:jc w:val="right"/>
              <w:rPr>
                <w:rFonts w:hint="eastAsia" w:ascii="宋体" w:hAnsi="宋体" w:cs="宋体"/>
                <w:szCs w:val="21"/>
              </w:rPr>
            </w:pPr>
            <w:r>
              <w:rPr>
                <w:rFonts w:ascii="宋体" w:hAnsi="宋体" w:cs="宋体"/>
                <w:szCs w:val="21"/>
              </w:rPr>
              <w:t xml:space="preserve">39399943.89</w:t>
            </w:r>
            <w:r/>
          </w:p>
        </w:tc>
      </w:tr>
    </w:tbl>
    <w:p>
      <w:pPr>
        <w:pStyle w:val="745"/>
        <w:ind w:firstLine="432"/>
        <w:rPr>
          <w:rFonts w:hint="eastAsia"/>
          <w:sz w:val="24"/>
        </w:rPr>
      </w:pPr>
      <w:r>
        <w:rPr>
          <w:rFonts w:hint="eastAsia" w:cs="宋体"/>
          <w:sz w:val="24"/>
        </w:rPr>
        <w:t xml:space="preserve">注：包含人行道、车行道、平侧石、路名牌及其他道路附属设施。</w:t>
      </w:r>
      <w:r/>
    </w:p>
    <w:p>
      <w:pPr>
        <w:ind w:firstLine="422"/>
        <w:spacing w:line="360" w:lineRule="auto"/>
        <w:tabs>
          <w:tab w:val="left" w:pos="840" w:leader="none"/>
        </w:tabs>
        <w:rPr>
          <w:rFonts w:hint="eastAsia" w:ascii="宋体" w:hAnsi="宋体" w:cs="宋体"/>
          <w:b/>
          <w:bCs/>
          <w:sz w:val="24"/>
        </w:rPr>
      </w:pPr>
      <w:r>
        <w:rPr>
          <w:rFonts w:hint="eastAsia" w:ascii="宋体" w:hAnsi="宋体" w:cs="宋体"/>
          <w:b/>
          <w:bCs/>
          <w:sz w:val="24"/>
        </w:rPr>
        <w:t xml:space="preserve">（二）相关说明：</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道路标段与桥梁标段维护范围划分：车行道以伸缩缝（不含伸缩缝）为界，人行道以桥栏杆起止点为界，如有在桥梁范围内人行道上的路名牌也由桥梁所在道路的管养中标单位负责维护。</w:t>
      </w:r>
      <w:r/>
    </w:p>
    <w:p>
      <w:pPr>
        <w:ind w:firstLine="420"/>
        <w:spacing w:line="360" w:lineRule="auto"/>
        <w:tabs>
          <w:tab w:val="left" w:pos="840" w:leader="none"/>
        </w:tabs>
        <w:rPr>
          <w:rFonts w:hint="eastAsia" w:ascii="宋体" w:hAnsi="宋体" w:cs="宋体"/>
          <w:sz w:val="24"/>
        </w:rPr>
      </w:pPr>
      <w:r/>
      <w:bookmarkStart w:id="66" w:name="_Hlk213612883"/>
      <w:r>
        <w:rPr>
          <w:rFonts w:hint="eastAsia" w:ascii="宋体" w:hAnsi="宋体" w:cs="宋体"/>
          <w:sz w:val="24"/>
        </w:rPr>
        <w:t xml:space="preserve">零星、专项维护单价界定：如单次维护总面积（或总长度）大于等于200平方米（米）；则此次维护的所有工作内容均按专项维护清单中的单价进行计算（如专项维护中没有的项目按零星维护单价进行计算）。  </w:t>
      </w:r>
      <w:bookmarkEnd w:id="66"/>
      <w:r/>
      <w:r/>
    </w:p>
    <w:p>
      <w:pPr>
        <w:ind w:firstLine="422"/>
        <w:spacing w:line="360" w:lineRule="auto"/>
        <w:tabs>
          <w:tab w:val="left" w:pos="840" w:leader="none"/>
        </w:tabs>
        <w:rPr>
          <w:rFonts w:hint="eastAsia" w:ascii="宋体" w:hAnsi="宋体" w:cs="宋体"/>
          <w:b/>
          <w:sz w:val="24"/>
        </w:rPr>
      </w:pPr>
      <w:r>
        <w:rPr>
          <w:rFonts w:hint="eastAsia" w:ascii="宋体" w:hAnsi="宋体" w:cs="宋体"/>
          <w:b/>
          <w:sz w:val="24"/>
        </w:rPr>
        <w:t xml:space="preserve">（三）执行标准：</w:t>
      </w:r>
      <w:r/>
    </w:p>
    <w:p>
      <w:pPr>
        <w:ind w:firstLine="420"/>
        <w:spacing w:line="360" w:lineRule="auto"/>
        <w:tabs>
          <w:tab w:val="left" w:pos="840" w:leader="none"/>
        </w:tabs>
        <w:rPr>
          <w:rFonts w:hint="eastAsia" w:ascii="宋体" w:hAnsi="宋体" w:cs="宋体"/>
          <w:bCs/>
          <w:sz w:val="24"/>
        </w:rPr>
      </w:pPr>
      <w:r>
        <w:rPr>
          <w:rFonts w:hint="eastAsia" w:ascii="宋体" w:hAnsi="宋体" w:cs="宋体"/>
          <w:bCs/>
          <w:sz w:val="24"/>
        </w:rPr>
        <w:t xml:space="preserve">住建部《城镇道路养护技术规范》CJJ 36－2016；</w:t>
      </w:r>
      <w:r/>
    </w:p>
    <w:p>
      <w:pPr>
        <w:ind w:firstLine="420"/>
        <w:spacing w:line="360" w:lineRule="auto"/>
        <w:tabs>
          <w:tab w:val="left" w:pos="840" w:leader="none"/>
        </w:tabs>
        <w:rPr>
          <w:rFonts w:hint="eastAsia" w:ascii="宋体" w:hAnsi="宋体" w:cs="宋体"/>
          <w:bCs/>
          <w:sz w:val="24"/>
        </w:rPr>
      </w:pPr>
      <w:r>
        <w:rPr>
          <w:rFonts w:hint="eastAsia" w:ascii="宋体" w:hAnsi="宋体" w:cs="宋体"/>
          <w:bCs/>
          <w:sz w:val="24"/>
        </w:rPr>
        <w:t xml:space="preserve">住建部《城镇道路工程施工与质量验收规范》 CJJ 1-2008；</w:t>
      </w:r>
      <w:r/>
    </w:p>
    <w:p>
      <w:pPr>
        <w:ind w:firstLine="420"/>
        <w:spacing w:line="360" w:lineRule="auto"/>
        <w:tabs>
          <w:tab w:val="left" w:pos="840" w:leader="none"/>
        </w:tabs>
        <w:rPr>
          <w:rFonts w:hint="eastAsia" w:ascii="宋体" w:hAnsi="宋体" w:cs="宋体"/>
          <w:bCs/>
          <w:sz w:val="24"/>
        </w:rPr>
      </w:pPr>
      <w:r>
        <w:rPr>
          <w:rFonts w:hint="eastAsia" w:ascii="宋体" w:hAnsi="宋体" w:cs="宋体"/>
          <w:bCs/>
          <w:sz w:val="24"/>
        </w:rPr>
        <w:t xml:space="preserve">住建部《建筑与市政工程无障碍通用规范》GB55019-2021；</w:t>
      </w:r>
      <w:r/>
    </w:p>
    <w:p>
      <w:pPr>
        <w:ind w:firstLine="420"/>
        <w:spacing w:line="360" w:lineRule="auto"/>
        <w:tabs>
          <w:tab w:val="left" w:pos="840" w:leader="none"/>
        </w:tabs>
        <w:rPr>
          <w:rFonts w:hint="eastAsia" w:ascii="宋体" w:hAnsi="宋体" w:cs="宋体"/>
          <w:bCs/>
          <w:sz w:val="24"/>
        </w:rPr>
      </w:pPr>
      <w:r>
        <w:rPr>
          <w:rFonts w:hint="eastAsia" w:ascii="宋体" w:hAnsi="宋体" w:cs="宋体"/>
          <w:bCs/>
          <w:sz w:val="24"/>
        </w:rPr>
        <w:t xml:space="preserve">《苏州市区人行道建设标准及规定汇编》（2008 年12 月）；</w:t>
      </w:r>
      <w:r/>
    </w:p>
    <w:p>
      <w:pPr>
        <w:ind w:firstLine="420"/>
        <w:spacing w:line="360" w:lineRule="auto"/>
        <w:tabs>
          <w:tab w:val="left" w:pos="840" w:leader="none"/>
        </w:tabs>
        <w:rPr>
          <w:rFonts w:hint="eastAsia" w:ascii="宋体" w:hAnsi="宋体" w:cs="宋体"/>
          <w:bCs/>
          <w:sz w:val="24"/>
        </w:rPr>
      </w:pPr>
      <w:r>
        <w:rPr>
          <w:rFonts w:hint="eastAsia" w:ascii="宋体" w:hAnsi="宋体" w:cs="宋体"/>
          <w:bCs/>
          <w:sz w:val="24"/>
        </w:rPr>
        <w:t xml:space="preserve">《苏州市市政设施管理条例》（2016年）以及国家、住建部有关专业的现行标准、规范、规程。</w:t>
      </w:r>
      <w:r/>
    </w:p>
    <w:p>
      <w:pPr>
        <w:ind w:firstLine="422"/>
        <w:spacing w:line="360" w:lineRule="auto"/>
        <w:tabs>
          <w:tab w:val="left" w:pos="840" w:leader="none"/>
        </w:tabs>
        <w:rPr>
          <w:rFonts w:hint="eastAsia" w:ascii="宋体" w:hAnsi="宋体" w:cs="宋体"/>
          <w:b/>
          <w:sz w:val="24"/>
        </w:rPr>
      </w:pPr>
      <w:r>
        <w:rPr>
          <w:rFonts w:hint="eastAsia" w:ascii="宋体" w:hAnsi="宋体" w:cs="宋体"/>
          <w:b/>
          <w:sz w:val="24"/>
        </w:rPr>
        <w:t xml:space="preserve">（四） 市政设施日常巡视内容及要求：</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（1）巡视内容</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1.1路面外观的完好情况。路面主要损坏类型按下表分类。</w:t>
      </w:r>
      <w:r/>
    </w:p>
    <w:tbl>
      <w:tblPr>
        <w:tblW w:w="5000" w:type="pct"/>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left w:w="0" w:type="dxa"/>
          <w:right w:w="0" w:type="dxa"/>
        </w:tblCellMar>
        <w:tblLook w:val="04A0" w:firstRow="1" w:lastRow="0" w:firstColumn="1" w:lastColumn="0" w:noHBand="0" w:noVBand="1"/>
      </w:tblPr>
      <w:tblGrid>
        <w:gridCol w:w="1342"/>
        <w:gridCol w:w="1356"/>
        <w:gridCol w:w="5592"/>
      </w:tblGrid>
      <w:tr>
        <w:trPr>
          <w:trHeight w:val="294"/>
        </w:trPr>
        <w:tc>
          <w:tcPr>
            <w:gridSpan w:val="2"/>
            <w:tcBorders>
              <w:top w:val="single" w:color="000000" w:sz="4" w:space="0"/>
              <w:left w:val="single" w:color="000000" w:sz="4" w:space="0"/>
              <w:bottom w:val="single" w:color="000000" w:sz="6" w:space="0"/>
              <w:right w:val="single" w:color="000000" w:sz="6" w:space="0"/>
            </w:tcBorders>
            <w:tcW w:w="1627" w:type="pct"/>
            <w:textDirection w:val="lrTb"/>
            <w:noWrap w:val="false"/>
          </w:tcPr>
          <w:p>
            <w:pPr>
              <w:pStyle w:val="1107"/>
              <w:ind w:left="554" w:right="676"/>
              <w:jc w:val="center"/>
              <w:spacing w:before="61"/>
              <w:rPr>
                <w:rFonts w:hint="eastAsia" w:ascii="宋体" w:hAnsi="宋体" w:eastAsia="宋体" w:cs="宋体"/>
                <w:sz w:val="24"/>
                <w:lang w:val="en-US" w:bidi="ar-SA"/>
              </w:rPr>
            </w:pPr>
            <w:r>
              <w:rPr>
                <w:rFonts w:ascii="宋体" w:hAnsi="宋体" w:eastAsia="宋体" w:cs="宋体"/>
                <w:sz w:val="24"/>
                <w:lang w:val="en-US" w:bidi="ar-SA"/>
              </w:rPr>
              <w:t xml:space="preserve">部位</w:t>
            </w:r>
            <w:r/>
          </w:p>
        </w:tc>
        <w:tc>
          <w:tcPr>
            <w:tcBorders>
              <w:top w:val="single" w:color="000000" w:sz="4" w:space="0"/>
              <w:left w:val="single" w:color="000000" w:sz="6" w:space="0"/>
              <w:bottom w:val="single" w:color="000000" w:sz="6" w:space="0"/>
              <w:right w:val="single" w:color="000000" w:sz="4" w:space="0"/>
            </w:tcBorders>
            <w:tcW w:w="3373" w:type="pct"/>
            <w:textDirection w:val="lrTb"/>
            <w:noWrap w:val="false"/>
          </w:tcPr>
          <w:p>
            <w:pPr>
              <w:pStyle w:val="1107"/>
              <w:ind w:left="1359" w:right="1333"/>
              <w:jc w:val="center"/>
              <w:spacing w:before="65"/>
              <w:rPr>
                <w:rFonts w:hint="eastAsia" w:ascii="宋体" w:hAnsi="宋体" w:eastAsia="宋体" w:cs="宋体"/>
                <w:sz w:val="24"/>
                <w:lang w:val="en-US" w:bidi="ar-SA"/>
              </w:rPr>
            </w:pPr>
            <w:r>
              <w:rPr>
                <w:rFonts w:ascii="宋体" w:hAnsi="宋体" w:eastAsia="宋体" w:cs="宋体"/>
                <w:sz w:val="24"/>
                <w:lang w:val="en-US" w:bidi="ar-SA"/>
              </w:rPr>
              <w:t xml:space="preserve">主要损坏类型</w:t>
            </w:r>
            <w:r/>
          </w:p>
        </w:tc>
      </w:tr>
      <w:tr>
        <w:trPr>
          <w:cantSplit/>
          <w:trHeight w:val="879"/>
        </w:trPr>
        <w:tc>
          <w:tcPr>
            <w:tcBorders>
              <w:top w:val="single" w:color="000000" w:sz="6" w:space="0"/>
              <w:left w:val="single" w:color="000000" w:sz="4" w:space="0"/>
              <w:bottom w:val="single" w:color="000000" w:sz="6" w:space="0"/>
              <w:right w:val="single" w:color="000000" w:sz="6" w:space="0"/>
            </w:tcBorders>
            <w:tcW w:w="809" w:type="pct"/>
            <w:vAlign w:val="center"/>
            <w:vMerge w:val="restart"/>
            <w:textDirection w:val="lrTb"/>
            <w:noWrap w:val="false"/>
          </w:tcPr>
          <w:p>
            <w:pPr>
              <w:pStyle w:val="1107"/>
              <w:ind w:left="249"/>
              <w:jc w:val="center"/>
              <w:spacing w:before="1"/>
              <w:rPr>
                <w:rFonts w:hint="eastAsia" w:ascii="宋体" w:hAnsi="宋体" w:eastAsia="宋体" w:cs="宋体"/>
                <w:sz w:val="24"/>
                <w:lang w:val="en-US" w:bidi="ar-SA"/>
              </w:rPr>
            </w:pPr>
            <w:r>
              <w:rPr>
                <w:rFonts w:ascii="宋体" w:hAnsi="宋体" w:eastAsia="宋体" w:cs="宋体"/>
                <w:sz w:val="24"/>
                <w:lang w:val="en-US" w:bidi="ar-SA"/>
              </w:rPr>
              <w:t xml:space="preserve">车行道</w:t>
            </w:r>
            <w:r/>
          </w:p>
        </w:tc>
        <w:tc>
          <w:tcPr>
            <w:tcBorders>
              <w:top w:val="single" w:color="000000" w:sz="6" w:space="0"/>
              <w:left w:val="single" w:color="000000" w:sz="6" w:space="0"/>
              <w:bottom w:val="single" w:color="000000" w:sz="2" w:space="0"/>
              <w:right w:val="single" w:color="000000" w:sz="6" w:space="0"/>
            </w:tcBorders>
            <w:tcW w:w="818" w:type="pct"/>
            <w:vAlign w:val="center"/>
            <w:textDirection w:val="lrTb"/>
            <w:noWrap w:val="false"/>
          </w:tcPr>
          <w:p>
            <w:pPr>
              <w:pStyle w:val="1107"/>
              <w:ind w:left="181"/>
              <w:jc w:val="center"/>
              <w:rPr>
                <w:rFonts w:hint="eastAsia" w:ascii="宋体" w:hAnsi="宋体" w:eastAsia="宋体" w:cs="宋体"/>
                <w:sz w:val="24"/>
                <w:lang w:val="en-US" w:bidi="ar-SA"/>
              </w:rPr>
            </w:pPr>
            <w:r>
              <w:rPr>
                <w:rFonts w:ascii="宋体" w:hAnsi="宋体" w:eastAsia="宋体" w:cs="宋体"/>
                <w:sz w:val="24"/>
                <w:lang w:val="en-US" w:bidi="ar-SA"/>
              </w:rPr>
              <w:t xml:space="preserve">沥青路面</w:t>
            </w:r>
            <w:r/>
          </w:p>
        </w:tc>
        <w:tc>
          <w:tcPr>
            <w:tcBorders>
              <w:top w:val="single" w:color="000000" w:sz="6" w:space="0"/>
              <w:left w:val="single" w:color="000000" w:sz="6" w:space="0"/>
              <w:bottom w:val="single" w:color="000000" w:sz="2" w:space="0"/>
              <w:right w:val="single" w:color="000000" w:sz="4" w:space="0"/>
            </w:tcBorders>
            <w:tcW w:w="3373" w:type="pct"/>
            <w:textDirection w:val="lrTb"/>
            <w:noWrap w:val="false"/>
          </w:tcPr>
          <w:p>
            <w:pPr>
              <w:pStyle w:val="1107"/>
              <w:ind w:left="251" w:right="1870" w:firstLine="1"/>
              <w:spacing w:before="19" w:line="264" w:lineRule="auto"/>
              <w:rPr>
                <w:rFonts w:hint="eastAsia" w:ascii="宋体" w:hAnsi="宋体" w:eastAsia="宋体" w:cs="宋体"/>
                <w:sz w:val="24"/>
                <w:lang w:val="en-US" w:bidi="ar-SA"/>
              </w:rPr>
            </w:pPr>
            <w:r>
              <w:rPr>
                <w:rFonts w:ascii="宋体" w:hAnsi="宋体" w:eastAsia="宋体" w:cs="宋体"/>
                <w:sz w:val="24"/>
                <w:lang w:val="en-US" w:bidi="ar-SA"/>
              </w:rPr>
              <w:t xml:space="preserve">线裂、网裂、龟裂；</w:t>
            </w:r>
            <w:r/>
          </w:p>
          <w:p>
            <w:pPr>
              <w:pStyle w:val="1107"/>
              <w:ind w:left="251" w:right="1870" w:firstLine="1"/>
              <w:spacing w:before="19" w:line="264" w:lineRule="auto"/>
              <w:rPr>
                <w:rFonts w:hint="eastAsia" w:ascii="宋体" w:hAnsi="宋体" w:eastAsia="宋体" w:cs="宋体"/>
                <w:sz w:val="24"/>
                <w:lang w:val="en-US" w:bidi="ar-SA"/>
              </w:rPr>
            </w:pPr>
            <w:r>
              <w:rPr>
                <w:rFonts w:ascii="宋体" w:hAnsi="宋体" w:eastAsia="宋体" w:cs="宋体"/>
                <w:sz w:val="24"/>
                <w:lang w:val="en-US" w:bidi="ar-SA"/>
              </w:rPr>
              <w:t xml:space="preserve">拥包、车辙、沉陷、翻浆； </w:t>
            </w:r>
            <w:r/>
          </w:p>
          <w:p>
            <w:pPr>
              <w:pStyle w:val="1107"/>
              <w:ind w:left="251" w:right="1870" w:firstLine="1"/>
              <w:spacing w:before="19" w:line="264" w:lineRule="auto"/>
              <w:rPr>
                <w:rFonts w:hint="eastAsia" w:ascii="宋体" w:hAnsi="宋体" w:eastAsia="宋体" w:cs="宋体"/>
                <w:sz w:val="24"/>
                <w:lang w:val="en-US" w:bidi="ar-SA"/>
              </w:rPr>
            </w:pPr>
            <w:r>
              <w:rPr>
                <w:rFonts w:ascii="宋体" w:hAnsi="宋体" w:eastAsia="宋体" w:cs="宋体"/>
                <w:sz w:val="24"/>
                <w:lang w:val="en-US" w:bidi="ar-SA"/>
              </w:rPr>
              <w:t xml:space="preserve">剥落、坑槽、啃边；</w:t>
            </w:r>
            <w:r/>
          </w:p>
          <w:p>
            <w:pPr>
              <w:pStyle w:val="1107"/>
              <w:ind w:left="251" w:right="1870" w:firstLine="1"/>
              <w:spacing w:before="19" w:line="264" w:lineRule="auto"/>
              <w:rPr>
                <w:rFonts w:hint="eastAsia" w:ascii="宋体" w:hAnsi="宋体" w:eastAsia="宋体" w:cs="宋体"/>
                <w:sz w:val="24"/>
                <w:lang w:val="en-US" w:bidi="ar-SA"/>
              </w:rPr>
            </w:pPr>
            <w:r>
              <w:rPr>
                <w:rFonts w:ascii="宋体" w:hAnsi="宋体" w:eastAsia="宋体" w:cs="宋体"/>
                <w:sz w:val="24"/>
                <w:lang w:val="en-US" w:bidi="ar-SA"/>
              </w:rPr>
              <w:t xml:space="preserve">路框差、卿浆、泛油</w:t>
            </w:r>
            <w:r/>
          </w:p>
        </w:tc>
      </w:tr>
      <w:tr>
        <w:trPr>
          <w:cantSplit/>
          <w:trHeight w:val="999"/>
        </w:trPr>
        <w:tc>
          <w:tcPr>
            <w:tcBorders>
              <w:top w:val="none" w:color="000000" w:sz="4" w:space="0"/>
              <w:left w:val="single" w:color="000000" w:sz="4" w:space="0"/>
              <w:bottom w:val="single" w:color="000000" w:sz="6" w:space="0"/>
              <w:right w:val="single" w:color="000000" w:sz="6" w:space="0"/>
            </w:tcBorders>
            <w:tcW w:w="809" w:type="pct"/>
            <w:vMerge w:val="continue"/>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2" w:space="0"/>
              <w:left w:val="single" w:color="000000" w:sz="6" w:space="0"/>
              <w:bottom w:val="single" w:color="000000" w:sz="6" w:space="0"/>
              <w:right w:val="single" w:color="000000" w:sz="6" w:space="0"/>
            </w:tcBorders>
            <w:tcW w:w="818" w:type="pct"/>
            <w:vAlign w:val="center"/>
            <w:textDirection w:val="lrTb"/>
            <w:noWrap w:val="false"/>
          </w:tcPr>
          <w:p>
            <w:pPr>
              <w:pStyle w:val="1107"/>
              <w:ind w:left="251" w:right="215" w:firstLine="7"/>
              <w:jc w:val="center"/>
              <w:spacing w:before="1" w:line="264" w:lineRule="auto"/>
              <w:rPr>
                <w:rFonts w:hint="eastAsia" w:ascii="宋体" w:hAnsi="宋体" w:eastAsia="宋体" w:cs="宋体"/>
                <w:sz w:val="24"/>
                <w:lang w:val="en-US" w:bidi="ar-SA"/>
              </w:rPr>
            </w:pPr>
            <w:r>
              <w:rPr>
                <w:rFonts w:ascii="宋体" w:hAnsi="宋体" w:eastAsia="宋体" w:cs="宋体"/>
                <w:sz w:val="24"/>
                <w:lang w:val="en-US" w:bidi="ar-SA"/>
              </w:rPr>
              <w:t xml:space="preserve">水泥 混凝土路面</w:t>
            </w:r>
            <w:r/>
          </w:p>
        </w:tc>
        <w:tc>
          <w:tcPr>
            <w:tcBorders>
              <w:top w:val="single" w:color="000000" w:sz="2" w:space="0"/>
              <w:left w:val="single" w:color="000000" w:sz="6" w:space="0"/>
              <w:bottom w:val="single" w:color="000000" w:sz="6" w:space="0"/>
              <w:right w:val="single" w:color="000000" w:sz="4" w:space="0"/>
            </w:tcBorders>
            <w:tcW w:w="3373" w:type="pct"/>
            <w:textDirection w:val="lrTb"/>
            <w:noWrap w:val="false"/>
          </w:tcPr>
          <w:p>
            <w:pPr>
              <w:pStyle w:val="1107"/>
              <w:ind w:left="253" w:right="274" w:hanging="3"/>
              <w:spacing w:line="271" w:lineRule="auto"/>
              <w:rPr>
                <w:rFonts w:hint="eastAsia" w:ascii="宋体" w:hAnsi="宋体" w:eastAsia="宋体" w:cs="宋体"/>
                <w:sz w:val="24"/>
                <w:lang w:val="en-US" w:bidi="ar-SA"/>
              </w:rPr>
            </w:pPr>
            <w:r>
              <w:rPr>
                <w:rFonts w:ascii="宋体" w:hAnsi="宋体" w:eastAsia="宋体" w:cs="宋体"/>
                <w:sz w:val="24"/>
                <w:lang w:val="en-US" w:bidi="ar-SA"/>
              </w:rPr>
              <w:t xml:space="preserve">线裂、板角断裂、边角裂缝 、交叉裂缝和破碎板； 接缝料损坏、边角剥诏 ；</w:t>
            </w:r>
            <w:r/>
          </w:p>
          <w:p>
            <w:pPr>
              <w:pStyle w:val="1107"/>
              <w:ind w:left="253" w:right="274" w:hanging="3"/>
              <w:spacing w:line="271" w:lineRule="auto"/>
              <w:rPr>
                <w:rFonts w:hint="eastAsia" w:ascii="宋体" w:hAnsi="宋体" w:eastAsia="宋体" w:cs="宋体"/>
                <w:sz w:val="24"/>
                <w:lang w:val="en-US" w:bidi="ar-SA"/>
              </w:rPr>
            </w:pPr>
            <w:r>
              <w:rPr>
                <w:rFonts w:hint="eastAsia" w:ascii="宋体" w:hAnsi="宋体" w:eastAsia="宋体" w:cs="宋体"/>
                <w:sz w:val="24"/>
                <w:lang w:val="en-US" w:bidi="ar-SA"/>
              </w:rPr>
              <w:t xml:space="preserve">坑洞、表面纹裂、层状剥落；</w:t>
            </w:r>
            <w:r/>
          </w:p>
          <w:p>
            <w:pPr>
              <w:pStyle w:val="1107"/>
              <w:ind w:left="252"/>
              <w:spacing w:before="20"/>
              <w:rPr>
                <w:rFonts w:hint="eastAsia" w:ascii="宋体" w:hAnsi="宋体" w:eastAsia="宋体" w:cs="宋体"/>
                <w:sz w:val="24"/>
                <w:lang w:val="en-US" w:bidi="ar-SA"/>
              </w:rPr>
            </w:pPr>
            <w:r>
              <w:rPr>
                <w:rFonts w:ascii="宋体" w:hAnsi="宋体" w:eastAsia="宋体" w:cs="宋体"/>
                <w:sz w:val="24"/>
                <w:lang w:val="en-US" w:bidi="ar-SA"/>
              </w:rPr>
              <w:t xml:space="preserve">错台、拱胀、刚浆、路框差、沉陷</w:t>
            </w:r>
            <w:r/>
          </w:p>
        </w:tc>
      </w:tr>
      <w:tr>
        <w:trPr>
          <w:trHeight w:val="302"/>
        </w:trPr>
        <w:tc>
          <w:tcPr>
            <w:gridSpan w:val="2"/>
            <w:tcBorders>
              <w:top w:val="single" w:color="000000" w:sz="6" w:space="0"/>
              <w:left w:val="single" w:color="000000" w:sz="4" w:space="0"/>
              <w:bottom w:val="single" w:color="000000" w:sz="6" w:space="0"/>
              <w:right w:val="single" w:color="000000" w:sz="6" w:space="0"/>
            </w:tcBorders>
            <w:tcW w:w="1627" w:type="pct"/>
            <w:textDirection w:val="lrTb"/>
            <w:noWrap w:val="false"/>
          </w:tcPr>
          <w:p>
            <w:pPr>
              <w:pStyle w:val="1107"/>
              <w:ind w:left="697" w:right="674"/>
              <w:jc w:val="center"/>
              <w:spacing w:before="83"/>
              <w:rPr>
                <w:rFonts w:hint="eastAsia" w:ascii="宋体" w:hAnsi="宋体" w:eastAsia="宋体" w:cs="宋体"/>
                <w:sz w:val="24"/>
                <w:lang w:val="en-US" w:bidi="ar-SA"/>
              </w:rPr>
            </w:pPr>
            <w:r>
              <w:rPr>
                <w:rFonts w:ascii="宋体" w:hAnsi="宋体" w:eastAsia="宋体" w:cs="宋体"/>
                <w:sz w:val="24"/>
                <w:lang w:val="en-US" w:bidi="ar-SA"/>
              </w:rPr>
              <w:t xml:space="preserve">人行道</w:t>
            </w:r>
            <w:r/>
          </w:p>
        </w:tc>
        <w:tc>
          <w:tcPr>
            <w:tcBorders>
              <w:top w:val="single" w:color="000000" w:sz="6" w:space="0"/>
              <w:left w:val="single" w:color="000000" w:sz="6" w:space="0"/>
              <w:bottom w:val="single" w:color="000000" w:sz="6" w:space="0"/>
              <w:right w:val="single" w:color="000000" w:sz="4" w:space="0"/>
            </w:tcBorders>
            <w:tcW w:w="3373" w:type="pct"/>
            <w:textDirection w:val="lrTb"/>
            <w:noWrap w:val="false"/>
          </w:tcPr>
          <w:p>
            <w:pPr>
              <w:pStyle w:val="1107"/>
              <w:ind w:left="252"/>
              <w:spacing w:before="78"/>
              <w:rPr>
                <w:rFonts w:hint="eastAsia" w:ascii="宋体" w:hAnsi="宋体" w:eastAsia="宋体" w:cs="宋体"/>
                <w:sz w:val="24"/>
                <w:lang w:val="en-US" w:bidi="ar-SA"/>
              </w:rPr>
            </w:pPr>
            <w:r>
              <w:rPr>
                <w:rFonts w:ascii="宋体" w:hAnsi="宋体" w:eastAsia="宋体" w:cs="宋体"/>
                <w:sz w:val="24"/>
                <w:lang w:val="en-US" w:bidi="ar-SA"/>
              </w:rPr>
              <w:t xml:space="preserve">裂缝、松动或变形、残缺</w:t>
            </w:r>
            <w:r/>
          </w:p>
        </w:tc>
      </w:tr>
    </w:tbl>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1.2路基的完好情况。主要包括：路基、路肩、边坡、挡士墙等。路基的主要损坏类型包括：翻浆、沉陷、空洞、塌陷、滑移等。</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1.3附属设施的完好情况。主要包括：路名牌、挡车石等。</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1.4检查在城市道路管理范围内是否存在以下情况：</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①堆放易燃易爆、有毒、放射性、刺激性气味、易于飞扬物品或者废弃物；</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②封堵或者占用广场和市政留用空地建造永久性建（构）筑物；</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③损毁或者擅自移动窨井盖、边井盖、平侧石、地下管线的地面标志物等设施</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④直接在城市道路上搅拌水泥砂浆、混凝土及其他拌合物；</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⑤在路面埋设地锚，进行焊接、切割、破损金属和抛卸重物、焚烧物品等；</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⑥擅自在人行道、广场、街头空地上开设车行坡道或者开辟进出通道；</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⑦擅自在人行道、广场、街头空地上停放、冲洗机动车，随意停放非机动车；</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⑧通行履带车、铁轮车，擅自通行其他对道路有直接损害的车辆；</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⑨擅自设置广告设施；</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⑩未经行政主管部门审批的临时占用；</w:t>
      </w:r>
      <w:r/>
    </w:p>
    <w:p>
      <w:pPr>
        <w:ind w:firstLine="420"/>
        <w:spacing w:line="360" w:lineRule="auto"/>
        <w:tabs>
          <w:tab w:val="left" w:pos="840" w:leader="none"/>
        </w:tabs>
        <w:rPr>
          <w:rFonts w:hint="eastAsia" w:ascii="宋体" w:hAnsi="宋体" w:cs="宋体"/>
          <w:sz w:val="24"/>
        </w:rPr>
      </w:pPr>
      <w:r>
        <w:rPr>
          <w:rFonts w:ascii="Cambria Math" w:hAnsi="Cambria Math" w:cs="Cambria Math"/>
          <w:sz w:val="24"/>
        </w:rPr>
        <w:t xml:space="preserve">⑪</w:t>
      </w:r>
      <w:r>
        <w:rPr>
          <w:rFonts w:hint="eastAsia" w:ascii="宋体" w:hAnsi="宋体" w:cs="宋体"/>
          <w:sz w:val="24"/>
        </w:rPr>
        <w:t xml:space="preserve">其他侵占、损害、污染城市道路的行为。</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1.5道路积水及其他不正常损坏现象。</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1.6日常巡查中发现下列情况之一时，巡查人员应立即设置警示防护标志并上报，在现场监视直至应急处置人员到场；相关部门应立即启动应急预案。</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①道路出现异常沉陷、空洞；</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②路面出现大于 100mm 的错台；</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③井盖、雨水口篦子丢失；</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④路面出现严重积水、结冰等严重影响道路正常使用的现象。</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（2）巡视要求</w:t>
      </w:r>
      <w:r/>
    </w:p>
    <w:p>
      <w:pPr>
        <w:ind w:firstLine="420"/>
        <w:spacing w:line="360" w:lineRule="auto"/>
        <w:tabs>
          <w:tab w:val="left" w:pos="840" w:leader="none"/>
        </w:tabs>
        <w:rPr>
          <w:rFonts w:hint="eastAsia" w:ascii="宋体" w:hAnsi="宋体" w:cs="宋体"/>
          <w:sz w:val="24"/>
        </w:rPr>
      </w:pPr>
      <w:r/>
      <w:bookmarkStart w:id="67" w:name="_Hlk174965554"/>
      <w:r>
        <w:rPr>
          <w:rFonts w:hint="eastAsia" w:ascii="宋体" w:hAnsi="宋体" w:cs="宋体"/>
          <w:sz w:val="24"/>
        </w:rPr>
        <w:t xml:space="preserve">巡视分为I等养护，一日一巡，II等养护，二日一巡。I等养护的城镇道路包括：快速路、主干路、广场、商业繁华街道、重要生产区道路、外事活动路线、游览路线等道路；II等养护的城镇道路：除I等养护以外的所有道路；具体划分以采购人要求为准。  </w:t>
      </w:r>
      <w:bookmarkEnd w:id="67"/>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2.1巡视范围：</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2.1.1道路路面及附属设施外观完好情况。包括：快车道、慢车道、人行道、侧平石、路名牌等。</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2.1.2有无擅自开挖，占用城市道路、人行道及管顶施工，乱开道口等行为。</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2.2巡查方式</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巡查方式分为机动车巡查和步行巡查。快车道的巡查工作以机动车巡查为主，慢车道、人行道的巡查工作以步行巡查为主。</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2.3巡查周期</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2.3.1根据城市道路的养护等级，确定巡查周期。Ⅰ等养护的城市道路原则上每天巡查一次，Ⅱ等养护的城市道路原则上每两天巡查一次。 </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2.3.2遇恶劣天气、汛期、雨季、冰冻或文明城市创建等特殊情况，应缩短巡查周期。</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2.4巡查要求</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2.4.1维护单位维护的每条道路都要明确专职人员进行巡查，巡查人员要具备一定的道路维护管理经验及处理突发事件的能力。</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2.4.2配备必要的设备和车辆，巡查车辆应有明显标识，装备黄色警示灯。</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2.4.3巡查过程中要端正工作态度，尽职尽责，自觉遵守交通规则，注意安全。</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2.4.4巡查人员要对路面坑洼破损、道板缺失破损、擅自挖掘、占用道路等做好记录，填写《市政设施巡查记录表》并归档保存。巡查结束后要尽快整理汇总巡查发现的问题，填写《市政设施巡查问题日报表》，经维护单位负责人审核后上报采购单位。</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2.4.5巡查中发现道路严重下陷、空洞等紧急情况，应立即上报并在现场做好警示工作。</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2.4</w:t>
      </w:r>
      <w:r>
        <w:rPr>
          <w:rFonts w:ascii="宋体" w:hAnsi="宋体" w:cs="宋体"/>
          <w:sz w:val="24"/>
        </w:rPr>
        <w:t xml:space="preserve">.6</w:t>
      </w:r>
      <w:r>
        <w:rPr>
          <w:rFonts w:hint="eastAsia" w:ascii="宋体" w:hAnsi="宋体" w:cs="宋体"/>
          <w:sz w:val="24"/>
        </w:rPr>
        <w:t xml:space="preserve">日常巡检情况需配合采购人及时录入相关系统。</w:t>
      </w:r>
      <w:r/>
    </w:p>
    <w:p>
      <w:pPr>
        <w:ind w:firstLine="420"/>
        <w:spacing w:line="360" w:lineRule="auto"/>
        <w:tabs>
          <w:tab w:val="left" w:pos="84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.4.7</w:t>
      </w:r>
      <w:r>
        <w:rPr>
          <w:rFonts w:hint="eastAsia" w:ascii="宋体" w:hAnsi="宋体" w:cs="宋体"/>
          <w:sz w:val="24"/>
        </w:rPr>
        <w:t xml:space="preserve">日常巡检工作需服从采购人的管理，配合采购人做好各类临时安排的巡检工作。</w:t>
      </w:r>
      <w:r/>
    </w:p>
    <w:p>
      <w:pPr>
        <w:ind w:firstLine="422"/>
        <w:spacing w:line="360" w:lineRule="auto"/>
        <w:tabs>
          <w:tab w:val="left" w:pos="840" w:leader="none"/>
        </w:tabs>
        <w:rPr>
          <w:rFonts w:hint="eastAsia" w:ascii="宋体" w:hAnsi="宋体" w:cs="宋体"/>
          <w:b/>
          <w:sz w:val="24"/>
        </w:rPr>
      </w:pPr>
      <w:r>
        <w:rPr>
          <w:rFonts w:hint="eastAsia" w:ascii="宋体" w:hAnsi="宋体" w:cs="宋体"/>
          <w:b/>
          <w:sz w:val="24"/>
        </w:rPr>
        <w:t xml:space="preserve">（五）市政设施日常维护作业内容及要求：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基本要求：维护作业严格遵循住建部《城镇道路养护技术规范》（CJJ36-2016）的要求,同时符合国家现行有关标准的规定。</w:t>
      </w:r>
      <w:r/>
    </w:p>
    <w:p>
      <w:pPr>
        <w:ind w:firstLine="422"/>
        <w:spacing w:line="360" w:lineRule="auto"/>
        <w:tabs>
          <w:tab w:val="left" w:pos="840" w:leader="none"/>
        </w:tabs>
        <w:rPr>
          <w:rFonts w:hint="eastAsia" w:ascii="宋体" w:hAnsi="宋体" w:cs="仿宋"/>
          <w:b/>
          <w:sz w:val="24"/>
        </w:rPr>
      </w:pPr>
      <w:r>
        <w:rPr>
          <w:rFonts w:hint="eastAsia" w:ascii="宋体" w:hAnsi="宋体" w:cs="仿宋"/>
          <w:b/>
          <w:sz w:val="24"/>
        </w:rPr>
        <w:t xml:space="preserve">（1）沥青路面</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1.1一般规定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1.1.1沥青路面的养护维修宜采用专用机械及相应的快速维修方法施工。</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1.1.2沥青路面养护维修材料及使用应符合现行行业标准《城镇道路工程施工与质量验收规范》CJJ 1的规定，不得采用水泥混凝土进行修补。</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1.1.3沥青路面的养护质量应符合沥青路面养护工程质量验收标准的规定。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1.1.4沥青路面铣刨、挖除的旧料应再生利用。刨除的废旧沥青混合料应进行专门回收利用，再生沥青混合料的运输、作业和质量控制等技术要求应符合现行行业标准《城镇道路沥青路面再生利用技术规程》CJJ 43的规定。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1.2预防性养护</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1.2.1 沥青路面在建成使用后应适时进行预防性养护。预防性养护措施应满足路面技术状况、交通量、道路等级等技术要求，材料应满足环境保护的要求。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1.2.2沥青路面预防性养护时机的选择应符合沥青路面养护对策规定，或可在路面使用性能指标值加速衰减前进行。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1.2.3病害预处治应符合下列规定: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1采取预防性养护措施前，应对原沥青路面各种病害进行预处治；宜优先选择机械化设备作业；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2病害预处治技术应包括裂缝处治、坑槽修补和路面局部铣刨等。</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1.3病害维修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1.3.1裂缝的维修应符合下列规定: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1）缝宽在10mm 及以内的，应采用专用灌缝(封缝)材料</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或热沥青灌缝，缝内潮湿时应采用乳化沥青灌缝；</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2）缝宽在10mm以上时，应按作业内容第1.3.7条要求进行修补。</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1.3.2拥包的维修应符合下列规定: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1）当拥包峰谷高差不大于15mm时，可采用机械铣刨平整；</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2）当拥包峰谷高差大于15mm且面积大于2m时，应采用铣刨机将拥包全部除去，并应低于路表面30mm及以上，清扫干净后应按作业内容第1.3.7条第2款进行维修；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3）基础变形形成的拥包，应更换已变形的基层，再重铺面层；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4）拥包的维修也可采用热再生方法，具体应按作业内容第1.3.7条第4款进行维修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1.3.3车辙的维修应符合下列规定: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当车辙在15mm以上时，可采用铣刨机清除；</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2）当联结层损坏时，应将损坏部位全部挖除，重新修补；</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3）因基层局部下沉而造成的车辙，应先修补基层。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1.3.4沉陷的维修应符合下列规定: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1）当土基和基层已经密实稳定后，可只修补面层；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2）当土基或基层被破坏时，应先处理土基，再修补基层，重铺面层；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3）当桥涵台背填土沉降时，应先处理台背填土后再修补面层。当正常沉降时，可直接加铺面层。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1.3.5翻浆的维修应先进行路基处治后再恢复面层。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1.3.6剥落的维修应符合下列规定: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1）已成松散状态的面层，应将松散部分全部挖除，重铺面层，或应按0.8 kg/m2~1.0kg/m’的用量喷洒沥青，撒布石屑或粗砂进行处治；</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2）沥青面层因不贫油出现的轻微麻面，可在高温季节撒布适当的沥青嵌缝料处治；</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3）大面积麻面应喷洒沥青，并应撒布适当粒径的嵌缝料处治，或重设面层；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4）封层的脱皮，应清除已脱落和松动的部分，再重新做上封层；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5）沥青面层层间产生脱皮，应将脱落及松动部分清除，在下层沥青面上涂刷粘层油，并应重铺沥青层。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1.3.7坑槽的维修应符合下列规定: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1）坑槽深度已达基层，应先处治基层，再修复面层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2）修补的坑槽应为顺路方向切割成矩形，坑槽四壁不得松动，加热坑槽四壁，涂刷粘层油，铺筑混合料，压实成型，去缝，开放交通。槽深大于50mm时应分层摊铺压实。</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3）在应急情况下，可采用沥青冷补材料处治。</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4）当采用就地热再生修补方法时，应先沿加热边线退回100mm，翻松被加热面层，喷洒乳化沥青，加入新的沥青混合料，整平压实。</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1.3.8啃边的维修应将破损的沥青面层挖除，在接茬处涂刷粘结沥青，再恢复面层。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1.3.9路框差的维修应符合下列规定: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1）当井座基础底板强度不足或井顶砖块碎裂散失造成路框差时，宜更换安装改良型卸载大盖板；</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2）当井座周边路面下陷造成路框差时，应修补周边路面。</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1.3.10唧浆的维修应符合下列规定: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1）可采用注浆固化的方法对病害内部进行处理，或进行局部翻建改造处理；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2）应对原路面中央分隔带、路肩、路基边坡、边沟及相应排水设施进行排查，消除积水隐患。</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1.3.11泛油的维修应符合下列规定: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1）轻微泛油的路段，可撒 3mm~5mm粒径的石屑或粗砂处治；</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2）较重泛油的路段，可先撒 5mm~10mm粒径的石屑采用压路机碾压。待稳定后，再撒 3mm~5mm粒径的石屑或粗砂处治；</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3）泛油路段，也可将面层铣刨清除后，重铺面层。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1.3.12当路面抗滑性能不满足沥青路面抗滑能力评价标准要求时，应重新恢复磨耗层。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1.3.13因基层原因导致沥青面层破损，应对基层采取有效措施处治，达到质量标准后再修筑面层。基层养护维修宜采用与原道路结构相同的基层材料，应符合现行行业标准《城镇道路工程放工与质量验收规范》CIJ 1 中相应类型基层施工技术要求。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1.4 路面补强</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1.4.1道路路面补强应符合下列规定: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1）对原有沥青路面应作全面的技术调查，并应包括下列内容:</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①路面破损及病害的程度；</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②路面的设计、作业养护技术资料；</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③年平均日交通量；</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④交通量增长率；</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⑤旧路回弹弯沉测试值；</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⑥钻芯取样。</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2）补强设计应与道路两边构筑物的连接以及道路排水相互协调。</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3）补强结构层与原路面结构的联结应牢固。</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1.4.2路面补强材料应根据道路的技术状况和养护等级选用。</w:t>
      </w:r>
      <w:r/>
    </w:p>
    <w:p>
      <w:pPr>
        <w:ind w:firstLine="422"/>
        <w:spacing w:line="360" w:lineRule="auto"/>
        <w:tabs>
          <w:tab w:val="left" w:pos="840" w:leader="none"/>
        </w:tabs>
        <w:rPr>
          <w:rFonts w:hint="eastAsia" w:ascii="宋体" w:hAnsi="宋体" w:cs="仿宋"/>
          <w:b/>
          <w:sz w:val="24"/>
        </w:rPr>
      </w:pPr>
      <w:r>
        <w:rPr>
          <w:rFonts w:hint="eastAsia" w:ascii="宋体" w:hAnsi="宋体" w:cs="仿宋"/>
          <w:b/>
          <w:sz w:val="24"/>
        </w:rPr>
        <w:t xml:space="preserve">（2）水泥混凝土路面</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2.1一般规定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2.1.1I、I等养护的道路宜采用专用机械及相应的快速维修方法作业。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2.1.2 水泥混凝土路面养护维修材料，应满足强度、耐久性和稳定性要求，主要材料应进行检验。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2.1.3水泥混凝土路面的养护质量应符合水泥混凝土道路养护质量验收标准的规定。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2.1.4水泥混凝土路面进行大修或改扩建工程时，应根据实际情况选择适宜的再生技术。</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2.1.5水泥混凝土路面应及时清除泥土、石块、砂砾等杂物，严禁在路面上拌合砂浆或混凝土等作业。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2.1.6对水泥混凝土路面有化学制剂或油污污染的，应及时清除。</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2.2接缝养护</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2.2.1 水泥混凝土路面接缝内的杂物应及时清除并灌缝。</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2.2.2接缝的养护应符合下列规定: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1）填缝料的更换周期应为2年-3年；宜选在春秋两季，或在当地年气温居中且较干燥的季节进行；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2）清缝、灌缝宜使用专用机具，更换后的填缝料应与面板粘结牢固；</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3）填缝料凸出板面时应及时处理，城镇快速路、主干路不得凸出板面，次干路和支路超过3mm时应铲平；</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4）填缝料外溢流淌到面板应清除；</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5）填缝料局部脱落、缺损时应进行灌缝填补，脱落、缺损长度大于1/3缝长应及时进行整条接缝的更换；</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6）填缝料的质量应符合现行行业标准《水泥混凝土路面销缝密封材料》JT/T 589的规定。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2.3病害维修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2.3.1 水泥混凝土路面裂缝维修应符合下列规定: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1）对路面板出现小于2mm宽的轻微裂缝，可采用直接灌浆法处治，灌浆材料应满足现行行业标准《混凝土裂缝修补灌浆材料技术条件》JG/T 333有关规定；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2）对裂缝宽大于或等于2mm且小于15mm贯穿板厚的中等裂缝，可采取扩缝补块的方法处治，扩缝补块的最小宽度不应小于100mm；</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3）对大于或等于15mm的严重裂缝，可采用挖补法全深度补块；当采用挖补法全深度补块时，基层强度应符合设计要求；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4）扩缝补块、挖补法全深度补块时应进行植筋，植筋深度应满足设计要求，无设计时植筋深度不应小于板厚的2/3。</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2.3.2板边和板角修补应符合下列规定: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1）当水泥混凝土路面板边轻度剥落时，快速路和主干路的养护不得采用沥青混合料修补；</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2）板角断裂应按破裂面确定切割范围；宜采用早强补偿收缩混凝土，并应按原路面设置纵缝、横向缩缝、胀缝；</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3）凿除破损部分时，应保留原有钢筋，没有钢筋时应植入钢筋，新旧板面间应涂刷界面剂；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4）与原有路面板的接缝面，应涂刷沥青，如为胀缝，应设置胀缝板:</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5）当混凝土养生达到设计强度后，方可通行车辆。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2.3.3接缝的维修应符合下列规定: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1）填缝料的损坏维修应符合接缝养护的规定；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2）对接缝处因传力杆设置不当所引起的损坏，应将原传力杆纠正到正确位置；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3）在胀缝修理时，应先将热沥青涂刷缝壁，再将胀缝板压入缝内；对胀缝板接头及胀缝板与传力杆之间的间隙，应采用沥青或其他胀缝料抹平，上部采用嵌缝条的胀缝板应及时嵌入嵌缝条；</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4）在低温季节或缝内潮湿时应将接缝烘干；</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5）当纵向接缝张开宽度在10mm及以下时，宜采用加热式填缝料；</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6）当纵向接缝张开宽度在10mm以上时，宜采用聚氨酯类填缝料常温作业；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7）当接缝出现碎裂时，应先扩缝补块，再做接缝处理。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2.3.4坑洞的补修应符合下列规定: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1）深度小于30mm且数量较多的浅坑，或成片的坑洞可采用适宜材料修补；</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2）深度大于或等于30mm的坑槽，应先做局部凿除，再补修面层；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3）植筋作业应满足设计要求。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2.3.5错台的维修应符合下列规定: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1）当工等养护的道路错台高差大于5mm，II等和皿等养护的道路错台高差大于10mm时，应及时处治；</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2）高差大于20mm的错台，应采用适当材料修补，且接顺的坡度不得大于1%。</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2.4翻修及路面改善</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2.4.1水泥混凝土路面整块面板翻修应符合下列规定: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1）旧板凿除时，不得造成相邻板块破损或错位，应保留原有拉杆或传力杆；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2）基层损坏或强度不足时，应采取补强措施，强度不应低于原结构强度，基层补强层顶面标高应与原基层顶面标高相同；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3）在混凝土路面板接缝处的基层上，宜涂刷一道宽200mm沥青；</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4）应根据通车时间要求选用路面的修补材料，并应进行配合比设计；</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5）水泥混凝土路面整块面板翻修应按新建水泥混凝土路面要求作业，并应满足现行行业标准《城镇道路工程施工与质量验收规范》CJJ1有关规定。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2.4.2部分路段的翻修应符合下列规定: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1）应根据路段的检测评价报告确定翻修的等级和标准；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2）路段的翻修应有维修设计文件；</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3）翻修时，新旧水泥混凝土板交接处应设传力杆，并应对损坏的拉杆进行修复；</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4）部分路段的翻修应按新建水泥混凝土路面要求作业，并应满足现行行业标准《城镇道路工程施工与质量验收规范》CJJ1有关规定。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2.4.3表面功能修复应符合下列规定: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1）水泥混凝土路面出现较大面积的磨光、起皮、剥落、露骨等病害，应及时安排大、中修工程进行维修；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2）城镇次干路、支路可采用表面处理；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3）当抗滑性能不足时，宜采用刻槽机对路面板重新刻槽，槽深宜为 3mm~ 5mm，槽宽宜为3mm~ 5mm，缝距宜为10mm~20mm。</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2.4.4水泥混凝土路面改善应因地制宜，可加铺水泥或沥青混凝土面层。</w:t>
      </w:r>
      <w:r/>
    </w:p>
    <w:p>
      <w:pPr>
        <w:ind w:firstLine="422"/>
        <w:spacing w:line="360" w:lineRule="auto"/>
        <w:tabs>
          <w:tab w:val="left" w:pos="840" w:leader="none"/>
        </w:tabs>
        <w:rPr>
          <w:rFonts w:hint="eastAsia" w:ascii="宋体" w:hAnsi="宋体" w:cs="仿宋"/>
          <w:b/>
          <w:sz w:val="24"/>
        </w:rPr>
      </w:pPr>
      <w:r>
        <w:rPr>
          <w:rFonts w:hint="eastAsia" w:ascii="宋体" w:hAnsi="宋体" w:cs="仿宋"/>
          <w:b/>
          <w:sz w:val="24"/>
        </w:rPr>
        <w:t xml:space="preserve">（3）其他路面</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3.1 块石铺砌路面</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3.1.1块石铺砌路面的养护应符合下列规定: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1）路面应平整、无松动；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2）填缝料缺失时应及时补缝，补缝应饱满密实；</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3）春季和雨季应增加巡检次数，排水系统应通畅。</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3.1.2块石铺砌路面翻建时应按原设计结构进行恢复，且应满足交通荷载要求。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3.1.3更换广场、步行街的块石路面采用花岗石、大理石时，不宜抛光、机刨。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3.1.4块石铺砌路面的维修应符合下列规定: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1）当发现路面边缘损坏、低洼沉陷、路面隆起、坑洞、错台时应及时维修；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2）当基层强度不足而造成路面损坏，应清除软弱基层，换填新的基层材料夯实加固，达到设计强度后再恢复面层；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3）更新的块石材质，规格应与原路面一致；</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4）作业时整平层砂浆应饱满，严禁在块石下垫碎砖、石屑找平；</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5）铺砌后的块石应夯平实，并应采用小于5mm砂砾填缝。</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3.1.5当块石路面粗糙条纹深度小于2mm时，应凿毛处理，并应满足抗滑要求。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3.1.6块石路面养护质量应符合本规范第12.4.2条的规定。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3.2水泥混凝土预制砌块路面</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3.2.1砌块路面的小修应包括下列内容:</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1）局部砌块的松动、缺损、错台；</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2）局部沉陷、压碎，检查井四周烂边；</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3）砌块路面上的局部掘路修复工作。</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3.2.2局部更换的砌块，其颜色、图案、材质、规格宜与原路面一致，路面砖强度和最小厚度应符合规定。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3.2.3砌块路面养护维修的外观质量应符合下列规定: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1）铺砌应平整、稳定，灌缝应饱满，不得有翘动现象；</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2）面层与其他构筑物应接顺，不得有积水现象；</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3）路面应满足抗滑要求。</w:t>
      </w:r>
      <w:r/>
    </w:p>
    <w:p>
      <w:pPr>
        <w:ind w:firstLine="422"/>
        <w:spacing w:line="360" w:lineRule="auto"/>
        <w:tabs>
          <w:tab w:val="left" w:pos="840" w:leader="none"/>
        </w:tabs>
        <w:rPr>
          <w:rFonts w:hint="eastAsia" w:ascii="宋体" w:hAnsi="宋体" w:cs="仿宋"/>
          <w:b/>
          <w:sz w:val="24"/>
        </w:rPr>
      </w:pPr>
      <w:r>
        <w:rPr>
          <w:rFonts w:hint="eastAsia" w:ascii="宋体" w:hAnsi="宋体" w:cs="仿宋"/>
          <w:b/>
          <w:sz w:val="24"/>
        </w:rPr>
        <w:t xml:space="preserve">（4）人行道</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4.1一般规定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4.1.1人行道养护应包括基层、面层、无障碍设施、缘石、树池、台阶等的养护。</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4.1.2对人行道及其附属设施应经常巡查，并应符合巡视周期规定。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4.1.3停放机动车的人行道和有机动车出入的人行道口，均宜按机动车道标准结构铺设。</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4.1.4人行道及其附属设施应处于完好状态，人行道的养护应符合下列规定: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1）表面应平整，无障碍物，无积水，砌块无松动、残缺，相邻块高差应符合要求；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2）缘石和台阶应稳定牢固，不得缺失；</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3）树池框不得拱起或残缺；</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4）人行道上检查井不得凸起或沉陷，检查井盖不得缺失；</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5）路名牌和指示牌等公用设施应设置在人行步道的设施带范围内；</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6）无障碍坡道及盲道设置应符合现行国家标准《无障碍设计规范》GB 50763和《无障碍设施施工验收及维护规范》GB50642的规定。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4.2基层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4.2.1人行道面层砌块铺装时，应设置满足强度要求的基层。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4.2.2当人行道下沉和拱胀凸起时，应对基层进行维修。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4.2.3当采用其他材料维修基层时，其强度不应低于原基层材料。</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4.2.4基层维修不应采用薄层贴补</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4.2.5冬期进行基层维护不宜采用石灰稳定类和水泥稳定类材料，否则应采取防冻措施。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4.2.6人行道基层维修质量验收应符合规范要求。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4.3面层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4.3.1面层养护应包括下列内容:</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1）砌块填缝料散失的补充；</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2）路面砖松动、破损、错台、凸起或凹陷的维修；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3）沉陷、隆起或错台、破损的维修；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4）检查井沉陷和凸起的维修。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4.3.2振捣成型、挤压成型的面层砌块和加工的石材可用作人行道面层的铺装。</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4.3.3发现面层砌块松动应及时补充填缝料，充填稳固，若垫层不平，应重新铺砌。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4.3.4面层砌块缝隙应填灌饱满，砌块排列应整齐，面层应稳固平整，排水应通畅。</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4.3.5垫层材料可采用干砂、石屑、石灰砂浆、水泥砂浆等。</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4.3.6面层养护应符合下列规定: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1）面层砌块应具有防滑性能，其材质标准应符合规定；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2）当面层砌块发生错台、凸出、沉陷时，应将其取出，整理垫层，重新铺装面层，填缝；修理的部位应与周围的面层砌块砖相接平顺；</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3）对基层强度不足产生的沉陷或破碎损坏，应先加固基层再铺砌面层砌块；</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4）砌块的修补部位宜大于损坏部位一整砖；</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5）检查井周围或与构筑物接壤的砌块宜切块补齐，不宜切块补齐的部分应及时填补平整；</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6）盲道砌块缺失或损坏应及时修补；提示盲道的块型和位置应安装正确；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7）人行道在养护维修中应满足排水要求。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4.3.7人行道养护质量验收标准应符合规范要求。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4.4缘石</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4.4.1缘石应保持清洁，冬季应及时清除含有盐类、除雪剂的融雪。</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4.4.2混凝土缘石应保持稳固、直顺。发生挤压、拱胀变形应调整并及时勾缝、</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4.4.3更换的缘石规格、材质应与原路缘石一致。</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4.4.4花岗石、大理石类缘石的维修养护，其缝宽不得小于3mm，最大缝宽不得超过10mm。</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4.4.5缘石养护质量验收标准应符合规范要求。</w:t>
      </w:r>
      <w:r/>
    </w:p>
    <w:p>
      <w:pPr>
        <w:ind w:firstLine="422"/>
        <w:spacing w:line="360" w:lineRule="auto"/>
        <w:tabs>
          <w:tab w:val="left" w:pos="840" w:leader="none"/>
        </w:tabs>
        <w:rPr>
          <w:rFonts w:hint="eastAsia" w:ascii="宋体" w:hAnsi="宋体" w:cs="仿宋"/>
          <w:b/>
          <w:sz w:val="24"/>
        </w:rPr>
      </w:pPr>
      <w:r>
        <w:rPr>
          <w:rFonts w:hint="eastAsia" w:ascii="宋体" w:hAnsi="宋体" w:cs="仿宋"/>
          <w:b/>
          <w:sz w:val="24"/>
        </w:rPr>
        <w:t xml:space="preserve">（5）路基</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5.1一般规定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5.1.1城镇道路路基养护应包括路基结构及其防护设施养护路基防护设施应包括路肩、边坡、挡土墙等。</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5.1.2路基养护应符合下列规定: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1）应加强日常巡查，发现病害及时处治；</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2）路肩应无坑槽、沉陷、积水、堆积物，边缘应直顺平整；</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3）边坡应结构完好、坚实、稳定，坡度应符合设计规定；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4）挡土墙等防护设施应完好。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5.1.3当道路周边有暗挖、深基坑开挖等作业时，应对路基稳定性产生影响的路段加强评估和监测。</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5.1.4对盐渍土、湿陷性黄土、软土、多年冻土等特殊土质路基产生的病害处治，应制定专项方案。</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5.2路基</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5.2.1对易发生路基病害的路段应加强预防性养护工作。雨季前，应检查整修路肩、边沟，补修路面碎裂和坑槽。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5.2.2病害路段应查明原因，对病害的范围、一般发生时间、气候变化、病害表面特征、路面结构、平时的养护情况等进行详细调查分析，做出记录，并应确定其治理方案。</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5.2.3路基产生翻浆、沉陷、空洞、塌陷、滑移等病害，应对路基病害治理后再进行面层结构的恢复。</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5.2.4路基翻浆、沉陷应根据交通状况、含水情况、道路变形破坏程度，使用砂砾或水稳性能良好的材料，采取换土回填、挤密、化学加固等相应技术手段对病害进行处治。</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5.2.5对路基空洞及塌陷应及时进行处治，可采用开挖回填、灌砂砾、压力注浆等方法进行处治。</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5.2.6路基产生滑移，应查明原因采取有针对性的加固措施。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5.3路肩</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5.3.1路肩应保持完好、平整、坚实、顺适。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5.3.2路肩出现变形、坑槽、边缘积土，应及时处理。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5.3.3土路肩横坡应满足排水要求。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5.4边坡</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5.4.1边坡的坡面养护应保持设计的坡度，表面应平顺、坚实。</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5.4.2边坡养护应符合下列规定: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1）边坡出现冲沟、缺口、沉陷及塌落时应进行整修；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2）路堑边坡出现冲沟、裂缝时，应及时填塞捣实；如出现潜流涌水，可隔断水源，或采取其他措施将水引向路基以外。</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5.4.3边坡防护与加固应符合下列规定: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1）边坡防护应根据路基土质条件选用不同治理方法，可分为植被防护和坡面治理两类，亦可组合使用；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2）对植物易生长的边坡，可采用种草、铺草皮及植树等植被防护措施；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3）对陡边坡和风化严重的岩石边坡可采用抹面、喷浆、勾缝、灌浆或石砌边坡等坡面处理方法；</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5.5挡土墙</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5.5.1挡土墙应定期检查，发现异常现象应查明原因及时采取结措施。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5.5.2墙体及坡面出现裂缝或断裂，应先进行稳定处理，再进行补缝。</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5.5.3挡土墙出现风化剥落时，应将风化表层凿除，重做保护层。当风化剥落严重或影响挡土墙强度时，应将风化部分拆除重建。</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5.5.4应定期疏通挡土墙泄水孔，保持畅通。挡土墙出现严重渗水，应增设泄水孔或墙后排水设施。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5.5.5挡土墙发生倾斜、滑动及下沉时，应先卸载，再选择锚固法、套墙加固法或增建支撑墙等加固措施。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5.5.6严重损坏的挡土墙，损坏部分应拆除重建。新旧挡墙之间应设置沉降缝，新旧挡墙宜衔接。</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（6）道路附属设施</w:t>
      </w:r>
      <w:r/>
    </w:p>
    <w:p>
      <w:pPr>
        <w:ind w:firstLine="422"/>
        <w:spacing w:line="360" w:lineRule="auto"/>
        <w:tabs>
          <w:tab w:val="left" w:pos="840" w:leader="none"/>
        </w:tabs>
        <w:rPr>
          <w:rFonts w:hint="eastAsia" w:ascii="宋体" w:hAnsi="宋体" w:cs="仿宋"/>
          <w:b/>
          <w:sz w:val="24"/>
        </w:rPr>
      </w:pPr>
      <w:r>
        <w:rPr>
          <w:rFonts w:hint="eastAsia" w:ascii="宋体" w:hAnsi="宋体" w:cs="仿宋"/>
          <w:b/>
          <w:sz w:val="24"/>
        </w:rPr>
        <w:t xml:space="preserve">6.1路名牌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6.1.1 道路的起点、终点和主要道路的交叉口处应设置路名牌。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6.1.2路名牌应设置在路口曲线起点上。牌底距地面高度应大于2m，立杆埋设距路缘石宜为0.3m，垂直于地面，深度不应小于0.5m。</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6.1.3路名牌和指示牌等设施，不得安设在盲道和无障碍坡道上，不得妨碍行人正常通行。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6.1.4路名牌和指示牌应保持整齐、清洁。</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6.1.5路名牌和指示牌出现松动或倾斜等现象时，应及时进行修复，对严重破损的路名牌应及时更换。</w:t>
      </w:r>
      <w:r/>
    </w:p>
    <w:p>
      <w:pPr>
        <w:ind w:firstLine="422"/>
        <w:spacing w:line="360" w:lineRule="auto"/>
        <w:tabs>
          <w:tab w:val="left" w:pos="840" w:leader="none"/>
        </w:tabs>
        <w:rPr>
          <w:rFonts w:hint="eastAsia" w:ascii="宋体" w:hAnsi="宋体" w:cs="仿宋"/>
          <w:b/>
          <w:sz w:val="24"/>
        </w:rPr>
      </w:pPr>
      <w:r>
        <w:rPr>
          <w:rFonts w:hint="eastAsia" w:ascii="宋体" w:hAnsi="宋体" w:cs="仿宋"/>
          <w:b/>
          <w:sz w:val="24"/>
        </w:rPr>
        <w:t xml:space="preserve">（7）掘路、修复</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7.1 一般规定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7.1.1掘路前应查明地下管线状况，挖槽时不得损坏原有的地下管线。</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7.1.2掘路修复结构强度不应低于原设计结构强度。</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7.1.3掘路的槽底最小宽度宜为所埋设施的外侧宽度加两侧夯实机具的工作宽度。</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7.1.4掘路修复应符合下列规定: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1）掘路修复所采用的基层、面层结构不应低于原结构强度；</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2）紧急抢修的掘路，当一次修复达不到规定压实度时，应进行再次修复；</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3）掘路修复应快速、坚实和平整，现场应清洁。</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7.1.5掘路修复的技术资料应归入该条道路的技术档案。</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7.1.6掘路后恢复的各种检查井应采取防沉降措施，井盖宜采取防盗及防响动措施。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7.1.7掘路修复的检查与验收要求，基层应符合规范规定，面层应符合沥青路面、水泥混凝土路面、人行道的养护质量标准。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7.2回填</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7.2.1严禁使用淤泥、沼泽土、泥炭土、冻土、有机土或含生活垃圾的土对掘路沟槽进行回填。</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7.2.2沟槽回填材料的强度(CBR)值应符合设计要求，材料最大粒径不应大于37.5mm。沟槽回填材料强度(CBR)最小值:路床顶面以下深度在 0~30cm的，不应小于8%；路床顶面以下深度大于30cm的，不应小于5%。</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7.2.3沟槽回填压实应在土壤含水量接近最佳含水量值时进行，分层回填的虚铺厚度应视压实机具的功能确定，人工夯实虚铺厚度应小于200mm。</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7.2.4沟槽分段填土交接处应做成阶梯形，阶梯宽度应大于层厚的两倍。</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7.2.5沟槽不得带水回填，回填应密实，且回填路基顶面回弹模量值:快速路和主干路不应小于30MPa；次干路和支路不应小于20MPa。</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7.2.6槽底至设施顶部以上500mm 范围内回填时，应从两侧对称进行，同时还土的高度差不得大于一层。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7.2.7沟槽回填土的压实度除满足相关规范外，还应按现行行业标准《城镇道路工程施工与质量验收规范》CJJ1的相关规定执行。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7.2.8回填土时对沟槽内原有的管线设施应采取保护措施。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7.2.9掘路回填遇有特殊情况时应采取下列措施: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1）当掘路土回填不能保证质量时，宜采用砂、天然级配砂砾或水泥混凝土等快速形成稳定的材料回填；</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2）沟槽发生塌方时，宜加大沟槽断面后，再回填；</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3）槽内设施顶部以上回填厚度小于设计规定时，应对所埋设施进行加固保护。</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7.2.10直埋线缆沟槽回填时，其线缆上方应有保护层。回填材料可采用粗砂或混凝土等回填灌注。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7.3基层修复</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7.3.1掘路的基层修复应在开挖断面两侧各加宽300mm~500mm。</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7.3.2掘路修复采用的材料应符合现行行业标准《城镇道路工程施工与质量验收规范》CJJ1的相关规定。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7.4路面修复</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7.4.1沥青混凝土面层修复应符合下列规定: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1）面层修复前，应对掘路时影响的破损路面进行清除，修复宽度每侧应大于基层200mm及以上；</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2）修复沥青混凝土面层前，应对半刚性基层或刚性基层采取防反射裂缝措施及防水措施；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3）接茬黏层油应涂刷在切割立面，溅洒在路表面的黏层油应清除干净；</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4）接茬宜采用直茬热接方法，应平顺、密实；</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5）宜采用振动压路机或振动夯实机具，分层碾压。</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7.4.2应急抢修或冬期修补掘路面层，宜采用混凝土预制砌块，或冷拌沥青混凝土修补平整，在气温适宜后再进行二次修复。</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7.4.3当水泥混凝土路面掘路宽度超过1/3板宽时，应按整板恢复；当不足1/3板宽时应进行加固处理。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7.4.4砌块类面层的修复，应将掘路作业期间被扰动的砌块全部拆除重新铺砌。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7.5人行道修复</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7.5.1修复挖掘的人行道基础应符合下列规定: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1）沟槽回填的最小宽度应满足夯实机械的最小工作宽度，且不得小于600mm；应分层回填夯实，分层的厚度应小于夯实机械的最大振动夯实厚度；</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2）当不能满足回填最小宽度时，可采用灌注混凝土等方法回填；</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3）沟槽回填应高于原路床，夯实后再整平至原路床标高，恢复面层；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4）人行道基础维修质量标准应符合规范的规定。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（六）作业要求：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1、按照住建部《城镇道路养护技术规范》（CJJ36-2016）,维护单位必须制定养护质量保证体系，严格质量操作流程；</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2、按月制定维护计划，并依据道路日常巡视情况适时调整。维护单位针对实际情况、维护要求和维护作业特点，定期上报维护实施计划。所有维护作业一律采取先申请后实施，以采购单位批准为准</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3、维护队伍必须加强管理，遵守作业现场的一切规章制度，文明作业，注意安全，一切伤亡事故由维护单位负全责；</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4、维护人员、作业机械或在运输装卸途中对其他设备及邻近管线等造成损坏，应由维护单位负责修复及承担一切费用；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5、维修养护过程中，维护单位负责及时清理垃圾</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6、服务过程中注意保护现场已存在的公共设施，如有损坏必须由维护单位负责恢复或赔偿</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7、维护单位须为维护人员配备印有维护单位名称的现场作业安全服或反光背心，现场作业时应明示安全警示标志和作业围挡</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8、维护工作实施过程中，维护单位不得将作业材料/设备与人员共用一辆车辆运输，不得违反相关道路交通法规</w:t>
      </w:r>
      <w:r>
        <w:rPr>
          <w:rFonts w:hint="eastAsia" w:ascii="宋体" w:hAnsi="宋体" w:cs="仿宋"/>
          <w:sz w:val="24"/>
        </w:rPr>
        <w:t xml:space="preserve">；</w:t>
      </w:r>
      <w:r>
        <w:rPr>
          <w:rFonts w:hint="eastAsia" w:ascii="宋体" w:hAnsi="宋体" w:cs="仿宋"/>
          <w:sz w:val="24"/>
        </w:rPr>
        <w:t xml:space="preserve"> </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9、维护单位应及时响应采购单位检查发现问题的整改，并落实回复</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ascii="宋体" w:hAnsi="宋体" w:cs="仿宋"/>
          <w:sz w:val="24"/>
        </w:rPr>
        <w:t xml:space="preserve">10</w:t>
      </w:r>
      <w:r>
        <w:rPr>
          <w:rFonts w:hint="eastAsia" w:ascii="宋体" w:hAnsi="宋体" w:cs="仿宋"/>
          <w:sz w:val="24"/>
        </w:rPr>
        <w:t xml:space="preserve">、 维护中使用的原材料、成品、半成品等必须质量合格，经检测发现不合格的工作内容不予计量</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ascii="宋体" w:hAnsi="宋体" w:cs="仿宋"/>
          <w:sz w:val="24"/>
        </w:rPr>
        <w:t xml:space="preserve">11</w:t>
      </w:r>
      <w:r>
        <w:rPr>
          <w:rFonts w:hint="eastAsia" w:ascii="宋体" w:hAnsi="宋体" w:cs="仿宋"/>
          <w:sz w:val="24"/>
        </w:rPr>
        <w:t xml:space="preserve">、维护项目维修完成后，应适时进行跟踪观察和监测，了解处置效果。</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（七）市政设施应急管理作业内容及要求：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（1）基本要求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为全面提高处理各类突发事件的应对能力，确保市政设施的安全运行，保证在发生意外突发事件时，管养单位能及时、有效地处理各类突发事件，最大限度地减少国家、人民财产损失和人员伤亡，保障交通安全畅通，尽快恢复社会秩序，中标单位应当制定切实有效的应急预案，同时应当做到：</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1、实行24小时待命，保持各类通讯渠道的畅通；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2、根据采购人作出的应急预案决定，立即赴现场开展抢险工作；</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3、及时向采购人报告处理突发事件进展情况，特大事故、事件每30分钟上报一次；</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4、根据突发事件的种类和特点建立监测网络，对突发事件的进展进行跟踪监测和现场查勘；</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5、如有紧急情况，应及时向采购人汇报，以便及时制定应急措施；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6、各车辆必须做好日常保养，保证水、电、油充足，确保正常运行；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7、各类抢险抗灾所需的车辆，包括多功能养护车、自卸车、装载车、挖掘车、推土机等24小时待命，以应对各类突发事件；</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8、各类建筑材料、消防灭火器材、防滑防冻材料、融雪剂、排水设施、交通护栏、夜间照明设备、卡车、洋镐、铁楸、清扫用具等物资准备到位，以备应急抢险使用；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9、加强应急演练，进一步熟悉《中华人民共和国安全生产法》、《中华人民共和国突发事件应对法》、《国家突发公共事件总体应急预案》、《建设工程质量管理条例》、《建设工程安全生产管理条例》、《建设部城市桥梁重大事故应急预案》、《江苏省突发公共事件总体应急预案》、《江苏省住房建设厅城市桥梁重大事故应急预案（修订）》、《江苏省突发事件应急预案管理办法》、《苏州市城市桥梁突发事件应急预案》、《生产经营单位安全事故应急预案编制导则》等法律法规及有关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（2）应急响应具体情况和抢险救援措施</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1、道路路面塌陷；检测发现路面路基形成空洞等重大隐患；路面出现严重的开裂、沉陷；煤气管爆裂、自来水管或消防栓漏水引起的路面破坏等情况，启动Ⅱ级响应预警。</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应急响应措施：①立即设置安全警示标志，做好现场的封闭和围护；②摸清路基路面地下管线情况，查明道路损坏原因；③确定抢险维修方案；④尽快组织路基路面修复工作。</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2、沥青路面拥包或坑潭严重（相对路面大于±10cm）；路铭牌、侧缘石倾倒严重等情况，启动Ⅲ级响应预警。</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应急响应措施：①立即出动应急队伍，设置安全警示标志，做好现场的围护；②按照日常养护维修方法，立即组织维修工作。</w:t>
      </w:r>
      <w:r/>
    </w:p>
    <w:p>
      <w:pPr>
        <w:ind w:firstLine="420"/>
        <w:spacing w:line="360" w:lineRule="auto"/>
        <w:tabs>
          <w:tab w:val="left" w:pos="840" w:leader="none"/>
        </w:tabs>
        <w:rPr>
          <w:rFonts w:hint="eastAsia" w:ascii="宋体" w:hAnsi="宋体" w:cs="仿宋"/>
          <w:bCs/>
          <w:iCs/>
          <w:sz w:val="24"/>
        </w:rPr>
      </w:pPr>
      <w:r>
        <w:rPr>
          <w:rFonts w:hint="eastAsia" w:ascii="宋体" w:hAnsi="宋体" w:cs="仿宋"/>
          <w:bCs/>
          <w:iCs/>
          <w:sz w:val="24"/>
        </w:rPr>
        <w:t xml:space="preserve">灾害气候的应急按照《防汛防台应急预案》、《雨雪灾害性天气应急预案》等采购人制定的相关应急制度进行处置。</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（八）人员及车辆配备要求：</w:t>
      </w:r>
      <w:r/>
    </w:p>
    <w:p>
      <w:pPr>
        <w:ind w:firstLine="420"/>
        <w:jc w:val="center"/>
        <w:spacing w:line="360" w:lineRule="auto"/>
        <w:tabs>
          <w:tab w:val="left" w:pos="840" w:leader="none"/>
        </w:tabs>
        <w:rPr>
          <w:rFonts w:hint="eastAsia" w:ascii="宋体" w:hAnsi="宋体" w:cs="仿宋"/>
          <w:sz w:val="24"/>
        </w:rPr>
      </w:pPr>
      <w:r>
        <w:rPr>
          <w:rFonts w:hint="eastAsia" w:ascii="宋体" w:hAnsi="宋体" w:cs="仿宋"/>
          <w:sz w:val="24"/>
        </w:rPr>
        <w:t xml:space="preserve">人员配置表</w:t>
      </w:r>
      <w:r/>
    </w:p>
    <w:tbl>
      <w:tblPr>
        <w:tblW w:w="8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984"/>
        <w:gridCol w:w="993"/>
        <w:gridCol w:w="4794"/>
      </w:tblGrid>
      <w:tr>
        <w:trPr>
          <w:jc w:val="center"/>
        </w:trPr>
        <w:tc>
          <w:tcPr>
            <w:tcW w:w="959" w:type="dxa"/>
            <w:vAlign w:val="center"/>
            <w:textDirection w:val="lrTb"/>
            <w:noWrap w:val="false"/>
          </w:tcPr>
          <w:p>
            <w:pPr>
              <w:spacing w:line="360" w:lineRule="auto"/>
              <w:tabs>
                <w:tab w:val="left" w:pos="840" w:leader="none"/>
              </w:tabs>
              <w:rPr>
                <w:rFonts w:hint="eastAsia" w:ascii="宋体" w:hAnsi="宋体" w:cs="仿宋"/>
                <w:sz w:val="24"/>
              </w:rPr>
            </w:pPr>
            <w:r/>
            <w:bookmarkStart w:id="68" w:name="_Hlk174971657"/>
            <w:r>
              <w:rPr>
                <w:rFonts w:hint="eastAsia" w:ascii="宋体" w:hAnsi="宋体" w:cs="仿宋"/>
                <w:sz w:val="24"/>
              </w:rPr>
              <w:t xml:space="preserve">序号</w:t>
            </w:r>
            <w:r/>
          </w:p>
        </w:tc>
        <w:tc>
          <w:tcPr>
            <w:tcW w:w="198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项目名称</w:t>
            </w:r>
            <w:r/>
          </w:p>
        </w:tc>
        <w:tc>
          <w:tcPr>
            <w:tcW w:w="993"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数量</w:t>
            </w:r>
            <w:r/>
          </w:p>
        </w:tc>
        <w:tc>
          <w:tcPr>
            <w:tcW w:w="479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备注</w:t>
            </w:r>
            <w:r/>
          </w:p>
        </w:tc>
      </w:tr>
      <w:tr>
        <w:trPr>
          <w:jc w:val="center"/>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1</w:t>
            </w:r>
            <w:r/>
          </w:p>
        </w:tc>
        <w:tc>
          <w:tcPr>
            <w:tcW w:w="198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项目负责人</w:t>
            </w:r>
            <w:r/>
          </w:p>
        </w:tc>
        <w:tc>
          <w:tcPr>
            <w:tcW w:w="993"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1</w:t>
            </w:r>
            <w:r/>
          </w:p>
        </w:tc>
        <w:tc>
          <w:tcPr>
            <w:tcW w:w="4794" w:type="dxa"/>
            <w:vAlign w:val="center"/>
            <w:textDirection w:val="lrTb"/>
            <w:noWrap w:val="false"/>
          </w:tcPr>
          <w:p>
            <w:pPr>
              <w:jc w:val="center"/>
              <w:tabs>
                <w:tab w:val="left" w:pos="840" w:leader="none"/>
              </w:tabs>
              <w:rPr>
                <w:rFonts w:hint="eastAsia" w:ascii="宋体" w:hAnsi="宋体" w:cs="仿宋"/>
                <w:sz w:val="24"/>
              </w:rPr>
            </w:pPr>
            <w:r>
              <w:rPr>
                <w:rFonts w:hint="eastAsia" w:ascii="宋体" w:hAnsi="宋体" w:cs="仿宋"/>
                <w:sz w:val="24"/>
              </w:rPr>
              <w:t xml:space="preserve">市政、道桥、土木类等相关专业，具有市政公用工程二级（含）建造师证书，安全员B证</w:t>
            </w:r>
            <w:r/>
          </w:p>
        </w:tc>
      </w:tr>
      <w:tr>
        <w:trPr>
          <w:jc w:val="center"/>
          <w:trHeight w:val="820"/>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2</w:t>
            </w:r>
            <w:r/>
          </w:p>
        </w:tc>
        <w:tc>
          <w:tcPr>
            <w:tcW w:w="198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技术负责人</w:t>
            </w:r>
            <w:r/>
          </w:p>
        </w:tc>
        <w:tc>
          <w:tcPr>
            <w:tcW w:w="993"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1</w:t>
            </w:r>
            <w:r/>
          </w:p>
        </w:tc>
        <w:tc>
          <w:tcPr>
            <w:tcW w:w="4794" w:type="dxa"/>
            <w:vAlign w:val="center"/>
            <w:textDirection w:val="lrTb"/>
            <w:noWrap w:val="false"/>
          </w:tcPr>
          <w:p>
            <w:pPr>
              <w:jc w:val="center"/>
              <w:tabs>
                <w:tab w:val="left" w:pos="840" w:leader="none"/>
              </w:tabs>
              <w:rPr>
                <w:rFonts w:hint="eastAsia" w:ascii="宋体" w:hAnsi="宋体" w:cs="仿宋"/>
                <w:sz w:val="24"/>
              </w:rPr>
            </w:pPr>
            <w:r>
              <w:rPr>
                <w:rFonts w:hint="eastAsia" w:ascii="宋体" w:hAnsi="宋体" w:cs="仿宋"/>
                <w:sz w:val="24"/>
              </w:rPr>
              <w:t xml:space="preserve">具备市政、道桥、土木类等相关专业高级（含）以上职称</w:t>
            </w:r>
            <w:r/>
          </w:p>
        </w:tc>
      </w:tr>
      <w:tr>
        <w:trPr>
          <w:jc w:val="center"/>
          <w:trHeight w:val="564"/>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3</w:t>
            </w:r>
            <w:r/>
          </w:p>
        </w:tc>
        <w:tc>
          <w:tcPr>
            <w:tcW w:w="198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安全负责人</w:t>
            </w:r>
            <w:r/>
          </w:p>
        </w:tc>
        <w:tc>
          <w:tcPr>
            <w:tcW w:w="993"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1</w:t>
            </w:r>
            <w:r/>
          </w:p>
        </w:tc>
        <w:tc>
          <w:tcPr>
            <w:tcW w:w="479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具备安全员B证</w:t>
            </w:r>
            <w:r/>
          </w:p>
        </w:tc>
      </w:tr>
      <w:tr>
        <w:trPr>
          <w:jc w:val="center"/>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4</w:t>
            </w:r>
            <w:r/>
          </w:p>
        </w:tc>
        <w:tc>
          <w:tcPr>
            <w:tcW w:w="198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现场管理人员</w:t>
            </w:r>
            <w:r/>
          </w:p>
        </w:tc>
        <w:tc>
          <w:tcPr>
            <w:tcW w:w="993"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5</w:t>
            </w:r>
            <w:r/>
          </w:p>
        </w:tc>
        <w:tc>
          <w:tcPr>
            <w:tcW w:w="4794" w:type="dxa"/>
            <w:vAlign w:val="center"/>
            <w:textDirection w:val="lrTb"/>
            <w:noWrap w:val="false"/>
          </w:tcPr>
          <w:p>
            <w:pPr>
              <w:jc w:val="center"/>
              <w:tabs>
                <w:tab w:val="left" w:pos="840" w:leader="none"/>
              </w:tabs>
              <w:rPr>
                <w:rFonts w:hint="eastAsia" w:ascii="宋体" w:hAnsi="宋体" w:cs="仿宋"/>
                <w:sz w:val="24"/>
              </w:rPr>
            </w:pPr>
            <w:r>
              <w:rPr>
                <w:rFonts w:hint="eastAsia" w:ascii="宋体" w:hAnsi="宋体" w:cs="仿宋"/>
                <w:sz w:val="24"/>
              </w:rPr>
              <w:t xml:space="preserve">具备市政、道桥、土木类等专业初级（含）以上职称，其中一名具有安全员C证及以上的安全员</w:t>
            </w:r>
            <w:r/>
          </w:p>
        </w:tc>
      </w:tr>
      <w:tr>
        <w:trPr>
          <w:jc w:val="center"/>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r>
            <w:r/>
          </w:p>
        </w:tc>
        <w:tc>
          <w:tcPr>
            <w:tcW w:w="198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小计</w:t>
            </w:r>
            <w:r/>
          </w:p>
        </w:tc>
        <w:tc>
          <w:tcPr>
            <w:tcW w:w="993"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8</w:t>
            </w:r>
            <w:r/>
          </w:p>
        </w:tc>
        <w:tc>
          <w:tcPr>
            <w:tcW w:w="479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r>
            <w:r/>
          </w:p>
        </w:tc>
      </w:tr>
    </w:tbl>
    <w:p>
      <w:pPr>
        <w:ind w:firstLine="420"/>
        <w:spacing w:line="360" w:lineRule="auto"/>
        <w:tabs>
          <w:tab w:val="left" w:pos="840" w:leader="none"/>
        </w:tabs>
        <w:rPr>
          <w:rFonts w:hint="eastAsia" w:ascii="宋体" w:hAnsi="宋体" w:cs="仿宋"/>
          <w:sz w:val="24"/>
        </w:rPr>
      </w:pPr>
      <w:r/>
      <w:bookmarkStart w:id="69" w:name="_Hlk174971672"/>
      <w:r/>
      <w:bookmarkStart w:id="70" w:name="_Hlk174971678"/>
      <w:r/>
      <w:bookmarkEnd w:id="68"/>
      <w:r>
        <w:rPr>
          <w:rFonts w:hint="eastAsia" w:ascii="宋体" w:hAnsi="宋体" w:cs="仿宋"/>
          <w:sz w:val="24"/>
        </w:rPr>
        <w:t xml:space="preserve">（1）投标人承担所有作业服务人员及管理人员的安全责任及费用(包括但不限于社会保障保险和意外险)。</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（2）投标人应为作业服务人员提供工作服及必要的劳动防护用品。</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（3）服务期内采购人根据工作需要召开会议，中标人的法定代表人或项目负责人必须准时参加。</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注：</w:t>
      </w:r>
      <w:r>
        <w:rPr>
          <w:rFonts w:hint="eastAsia" w:ascii="宋体" w:hAnsi="宋体" w:cs="仿宋"/>
          <w:b/>
          <w:bCs/>
          <w:sz w:val="24"/>
        </w:rPr>
        <w:t xml:space="preserve">提供上述人员在投标单位最新一期的社保缴纳证明，否则视为未实质性响应</w:t>
      </w:r>
      <w:r>
        <w:rPr>
          <w:rFonts w:hint="eastAsia" w:ascii="宋体" w:hAnsi="宋体" w:cs="仿宋"/>
          <w:sz w:val="24"/>
        </w:rPr>
        <w:t xml:space="preserve">。所有作业服务人员一经确定不得随意变更，如更换需提前1个月向采购人提出书面申请。如项目组成员不能胜任本项目，则招标人可提前1个月向中标单位提出更换要求，中标单位必须及时响应更换服务人员。</w:t>
      </w:r>
      <w:bookmarkEnd w:id="69"/>
      <w:r/>
      <w:r/>
    </w:p>
    <w:p>
      <w:pPr>
        <w:ind w:firstLine="420"/>
        <w:jc w:val="center"/>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jc w:val="center"/>
        <w:spacing w:line="360" w:lineRule="auto"/>
        <w:tabs>
          <w:tab w:val="left" w:pos="840" w:leader="none"/>
        </w:tabs>
        <w:rPr>
          <w:rFonts w:hint="eastAsia" w:ascii="宋体" w:hAnsi="宋体" w:cs="仿宋"/>
          <w:sz w:val="24"/>
        </w:rPr>
      </w:pPr>
      <w:r>
        <w:rPr>
          <w:rFonts w:hint="eastAsia" w:ascii="宋体" w:hAnsi="宋体" w:cs="仿宋"/>
          <w:sz w:val="24"/>
        </w:rPr>
        <w:t xml:space="preserve">车辆配置表</w:t>
      </w:r>
      <w:r/>
    </w:p>
    <w:tbl>
      <w:tblPr>
        <w:tblW w:w="8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2438"/>
        <w:gridCol w:w="1134"/>
        <w:gridCol w:w="4199"/>
      </w:tblGrid>
      <w:tr>
        <w:trPr>
          <w:jc w:val="center"/>
        </w:trPr>
        <w:tc>
          <w:tcPr>
            <w:tcW w:w="959" w:type="dxa"/>
            <w:vAlign w:val="center"/>
            <w:textDirection w:val="lrTb"/>
            <w:noWrap w:val="false"/>
          </w:tcPr>
          <w:p>
            <w:pPr>
              <w:spacing w:line="360" w:lineRule="auto"/>
              <w:tabs>
                <w:tab w:val="left" w:pos="840" w:leader="none"/>
              </w:tabs>
              <w:rPr>
                <w:rFonts w:hint="eastAsia" w:ascii="宋体" w:hAnsi="宋体" w:cs="仿宋"/>
                <w:sz w:val="24"/>
              </w:rPr>
            </w:pPr>
            <w:r>
              <w:rPr>
                <w:rFonts w:hint="eastAsia" w:ascii="宋体" w:hAnsi="宋体" w:cs="仿宋"/>
                <w:sz w:val="24"/>
              </w:rPr>
              <w:t xml:space="preserve">序号</w:t>
            </w:r>
            <w:r/>
          </w:p>
        </w:tc>
        <w:tc>
          <w:tcPr>
            <w:tcW w:w="2438"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项目名称</w:t>
            </w:r>
            <w:r/>
          </w:p>
        </w:tc>
        <w:tc>
          <w:tcPr>
            <w:tcW w:w="113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数量</w:t>
            </w:r>
            <w:r/>
          </w:p>
        </w:tc>
        <w:tc>
          <w:tcPr>
            <w:tcW w:w="419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备注</w:t>
            </w:r>
            <w:r/>
          </w:p>
        </w:tc>
      </w:tr>
      <w:tr>
        <w:trPr>
          <w:jc w:val="center"/>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1</w:t>
            </w:r>
            <w:r/>
          </w:p>
        </w:tc>
        <w:tc>
          <w:tcPr>
            <w:tcW w:w="2438"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皮卡巡视车</w:t>
            </w:r>
            <w:r/>
          </w:p>
        </w:tc>
        <w:tc>
          <w:tcPr>
            <w:tcW w:w="113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2</w:t>
            </w:r>
            <w:r/>
          </w:p>
        </w:tc>
        <w:tc>
          <w:tcPr>
            <w:tcW w:w="419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r>
            <w:r/>
          </w:p>
        </w:tc>
      </w:tr>
      <w:tr>
        <w:trPr>
          <w:jc w:val="center"/>
          <w:trHeight w:val="439"/>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2</w:t>
            </w:r>
            <w:r/>
          </w:p>
        </w:tc>
        <w:tc>
          <w:tcPr>
            <w:tcW w:w="2438"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小型运输车辆</w:t>
            </w:r>
            <w:r/>
          </w:p>
        </w:tc>
        <w:tc>
          <w:tcPr>
            <w:tcW w:w="113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4</w:t>
            </w:r>
            <w:r/>
          </w:p>
        </w:tc>
        <w:tc>
          <w:tcPr>
            <w:tcW w:w="419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5吨以下</w:t>
            </w:r>
            <w:r/>
          </w:p>
        </w:tc>
      </w:tr>
      <w:tr>
        <w:trPr>
          <w:jc w:val="center"/>
          <w:trHeight w:val="468"/>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3</w:t>
            </w:r>
            <w:r/>
          </w:p>
        </w:tc>
        <w:tc>
          <w:tcPr>
            <w:tcW w:w="2438"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小型压路机</w:t>
            </w:r>
            <w:r/>
          </w:p>
        </w:tc>
        <w:tc>
          <w:tcPr>
            <w:tcW w:w="113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2</w:t>
            </w:r>
            <w:r/>
          </w:p>
        </w:tc>
        <w:tc>
          <w:tcPr>
            <w:tcW w:w="419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1吨以上</w:t>
            </w:r>
            <w:r/>
          </w:p>
        </w:tc>
      </w:tr>
      <w:tr>
        <w:trPr>
          <w:jc w:val="center"/>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4</w:t>
            </w:r>
            <w:r/>
          </w:p>
        </w:tc>
        <w:tc>
          <w:tcPr>
            <w:tcW w:w="2438"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多功能养护车</w:t>
            </w:r>
            <w:r/>
          </w:p>
        </w:tc>
        <w:tc>
          <w:tcPr>
            <w:tcW w:w="113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1</w:t>
            </w:r>
            <w:r/>
          </w:p>
        </w:tc>
        <w:tc>
          <w:tcPr>
            <w:tcW w:w="419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r>
            <w:r/>
          </w:p>
        </w:tc>
      </w:tr>
      <w:tr>
        <w:trPr>
          <w:jc w:val="center"/>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5</w:t>
            </w:r>
            <w:r/>
          </w:p>
        </w:tc>
        <w:tc>
          <w:tcPr>
            <w:tcW w:w="2438"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摊铺机</w:t>
            </w:r>
            <w:r/>
          </w:p>
        </w:tc>
        <w:tc>
          <w:tcPr>
            <w:tcW w:w="113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1</w:t>
            </w:r>
            <w:r/>
          </w:p>
        </w:tc>
        <w:tc>
          <w:tcPr>
            <w:tcW w:w="419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r>
            <w:r/>
          </w:p>
        </w:tc>
      </w:tr>
      <w:tr>
        <w:trPr>
          <w:jc w:val="center"/>
        </w:trPr>
        <w:tc>
          <w:tcPr>
            <w:tcW w:w="95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6</w:t>
            </w:r>
            <w:r/>
          </w:p>
        </w:tc>
        <w:tc>
          <w:tcPr>
            <w:tcW w:w="2438"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铣刨机</w:t>
            </w:r>
            <w:r/>
          </w:p>
        </w:tc>
        <w:tc>
          <w:tcPr>
            <w:tcW w:w="1134"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t xml:space="preserve">1</w:t>
            </w:r>
            <w:r/>
          </w:p>
        </w:tc>
        <w:tc>
          <w:tcPr>
            <w:tcW w:w="4199" w:type="dxa"/>
            <w:vAlign w:val="center"/>
            <w:textDirection w:val="lrTb"/>
            <w:noWrap w:val="false"/>
          </w:tcPr>
          <w:p>
            <w:pPr>
              <w:jc w:val="center"/>
              <w:spacing w:line="360" w:lineRule="auto"/>
              <w:tabs>
                <w:tab w:val="left" w:pos="840" w:leader="none"/>
              </w:tabs>
              <w:rPr>
                <w:rFonts w:hint="eastAsia" w:ascii="宋体" w:hAnsi="宋体" w:cs="仿宋"/>
                <w:sz w:val="24"/>
              </w:rPr>
            </w:pPr>
            <w:r>
              <w:rPr>
                <w:rFonts w:hint="eastAsia" w:ascii="宋体" w:hAnsi="宋体" w:cs="仿宋"/>
                <w:sz w:val="24"/>
              </w:rPr>
            </w:r>
            <w:bookmarkEnd w:id="70"/>
            <w:r/>
            <w:r/>
          </w:p>
        </w:tc>
      </w:tr>
    </w:tbl>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（1）投标文件中必须提供上述车辆的车辆行驶证复印件（若为租赁，必须同时提供租赁合同复印件），对应的车辆行驶证复印件（若为租赁，必须同时提供租赁合同复印件），否则视为未实质性响应。</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（2）中标人所配备的车辆应具备维护范围内所有道路的相关通行资格，</w:t>
      </w:r>
      <w:r>
        <w:rPr>
          <w:rFonts w:hint="eastAsia" w:ascii="宋体" w:hAnsi="宋体" w:cs="仿宋"/>
          <w:b/>
          <w:bCs/>
          <w:sz w:val="24"/>
        </w:rPr>
        <w:t xml:space="preserve">须在投标文件中提供承诺函</w:t>
      </w:r>
      <w:r>
        <w:rPr>
          <w:rFonts w:hint="eastAsia" w:ascii="宋体" w:hAnsi="宋体" w:cs="仿宋"/>
          <w:sz w:val="24"/>
        </w:rPr>
        <w:t xml:space="preserve">，承诺在中标后向采购人提供车辆通行证件。</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其相关的油料、保养费用、维修费用、保险费用等一切费用由中标单位负责，并且在设备使用期间中标单位需提供人员配合作业。采购单位有权在采购单位范围内调配车辆的使用，中标单位需（含操作人员）配合。</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（4）投标单位所提供的车辆设备必须符合现行环保要求，车辆检验合格方可上路作业；因国家及地方相关法律、法规及标准调整而不符合上路要求的车辆，中标人须无条件更换。</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中标人所配备的车辆设备务必保证机械完好率达100%,如因保养、维修等原因不能进行当日管养，可最迟于次日，调以同等使用性能的机械进场作业，影响管养工作的，按《考核表》处理，若车辆设备经维修后仍无法满足管养要求的，中标人应及时进行更换。</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中标人如需更换本项目专用车辆（设备），应向采购方提出书面申请，经采购方批准后方可进行更换，所更换车辆（设备）的型号、参数、性能等不得低于其投标文件承诺，且机动车登记证书的初次登记日期不得早于被更换车辆。</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（7）车辆外观要求标识统一，中标后，需按采购方要求进行车辆涂装，相关费用包含于投标报价内。</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（九）项目流程安排</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（1）维护服务流程：</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巡检发现（或接到采购方任务通知）→维护单位响应→维护单位尽快赶到现场察看并拍照、记录→维护单位提交维护方案→得到采购方确认维护（或修理）任务联系单进行相关作业→ 采购方进行复查及签证确认→整理资料建立、建全服务台账。</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维护单位提供服务项目管理人员名单，人员应相对固定，做到在故障突发时随叫随到。</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（2）具体维护要求内容</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维护目标：市政道路及其配套附属市政设施的巡查、维护、修复以及其它市政零星、应急事项。目的是为了市政基础设施的完好及使用安全。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维护单位必须落实维护各个环节，做好市政设施检、维护、保养和运行管理工作，保证各市政设施良好、运行正常、稳定，技术资料、原始记录齐全（各种巡检记录、维护日志、现场影像等有关资料）。</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（3）维护单位按照维护内容、要求和考核细则，设专人负责系统运行维护工作，并接受采购方的检查和考核。</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r>
      <w:r/>
    </w:p>
    <w:p>
      <w:pPr>
        <w:pStyle w:val="1283"/>
        <w:ind w:left="0" w:firstLine="0"/>
        <w:rPr>
          <w:rFonts w:hint="eastAsia"/>
        </w:rPr>
      </w:pPr>
      <w:r>
        <w:rPr>
          <w:rFonts w:hint="eastAsia"/>
        </w:rPr>
        <w:t xml:space="preserve">附件1：</w:t>
      </w:r>
      <w:r/>
    </w:p>
    <w:p>
      <w:pPr>
        <w:ind w:right="115"/>
        <w:jc w:val="center"/>
        <w:tabs>
          <w:tab w:val="left" w:pos="1286" w:leader="none"/>
        </w:tabs>
        <w:rPr>
          <w:rFonts w:hint="eastAsia" w:ascii="宋体" w:hAnsi="宋体"/>
          <w:b/>
          <w:bCs/>
          <w:szCs w:val="21"/>
        </w:rPr>
      </w:pPr>
      <w:r>
        <w:rPr>
          <w:rFonts w:hint="eastAsia" w:ascii="宋体" w:hAnsi="宋体"/>
          <w:b/>
          <w:bCs/>
          <w:szCs w:val="21"/>
        </w:rPr>
        <w:t xml:space="preserve">道路维护项目考核表</w:t>
      </w:r>
      <w:r/>
    </w:p>
    <w:p>
      <w:pPr>
        <w:ind w:right="115"/>
        <w:tabs>
          <w:tab w:val="left" w:pos="1286" w:leader="none"/>
        </w:tabs>
        <w:rPr>
          <w:rFonts w:hint="eastAsia" w:ascii="仿宋" w:hAnsi="仿宋" w:eastAsia="仿宋"/>
          <w:b/>
          <w:bCs/>
          <w:szCs w:val="21"/>
        </w:rPr>
      </w:pPr>
      <w:r>
        <w:rPr>
          <w:rFonts w:hint="eastAsia" w:ascii="仿宋" w:hAnsi="仿宋" w:eastAsia="仿宋"/>
          <w:b/>
          <w:bCs/>
          <w:szCs w:val="21"/>
        </w:rPr>
        <w:t xml:space="preserve">项目名称：</w:t>
      </w:r>
      <w:r/>
    </w:p>
    <w:p>
      <w:pPr>
        <w:ind w:right="115"/>
        <w:tabs>
          <w:tab w:val="left" w:pos="1286" w:leader="none"/>
        </w:tabs>
        <w:rPr>
          <w:rFonts w:hint="eastAsia" w:ascii="仿宋" w:hAnsi="仿宋" w:eastAsia="仿宋"/>
          <w:b/>
          <w:bCs/>
          <w:szCs w:val="21"/>
        </w:rPr>
      </w:pPr>
      <w:r>
        <w:rPr>
          <w:rFonts w:hint="eastAsia" w:ascii="仿宋" w:hAnsi="仿宋" w:eastAsia="仿宋"/>
          <w:b/>
          <w:bCs/>
          <w:szCs w:val="21"/>
        </w:rPr>
        <w:t xml:space="preserve">被考核单位：</w:t>
      </w:r>
      <w:r/>
    </w:p>
    <w:p>
      <w:pPr>
        <w:ind w:right="115"/>
        <w:tabs>
          <w:tab w:val="left" w:pos="1286" w:leader="none"/>
        </w:tabs>
        <w:rPr>
          <w:rFonts w:ascii="仿宋_GB2312" w:eastAsia="仿宋_GB2312"/>
          <w:b/>
          <w:bCs/>
          <w:szCs w:val="21"/>
        </w:rPr>
      </w:pPr>
      <w:r>
        <w:rPr>
          <w:rFonts w:hint="eastAsia" w:ascii="仿宋" w:hAnsi="仿宋" w:eastAsia="仿宋"/>
          <w:b/>
          <w:bCs/>
          <w:szCs w:val="21"/>
        </w:rPr>
        <w:t xml:space="preserve">考核日期：      年  月  日</w:t>
      </w:r>
      <w:r/>
    </w:p>
    <w:tbl>
      <w:tblPr>
        <w:tblW w:w="9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6"/>
        <w:gridCol w:w="1276"/>
        <w:gridCol w:w="1701"/>
        <w:gridCol w:w="709"/>
        <w:gridCol w:w="709"/>
        <w:gridCol w:w="3715"/>
        <w:gridCol w:w="1205"/>
      </w:tblGrid>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szCs w:val="21"/>
              </w:rPr>
            </w:pPr>
            <w:r>
              <w:rPr>
                <w:rFonts w:ascii="宋体" w:hAnsi="宋体"/>
                <w:szCs w:val="21"/>
              </w:rPr>
              <w:t xml:space="preserve">考核</w:t>
            </w:r>
            <w:r>
              <w:rPr>
                <w:rFonts w:hint="eastAsia" w:ascii="宋体" w:hAnsi="宋体"/>
                <w:szCs w:val="21"/>
              </w:rPr>
              <w:t xml:space="preserve">内容及要求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应</w:t>
            </w: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实得分</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jc w:val="center"/>
              <w:rPr>
                <w:rFonts w:hint="eastAsia" w:ascii="宋体" w:hAnsi="宋体"/>
                <w:szCs w:val="21"/>
              </w:rPr>
            </w:pPr>
            <w:r>
              <w:rPr>
                <w:rFonts w:hint="eastAsia" w:ascii="宋体" w:hAnsi="宋体"/>
                <w:szCs w:val="21"/>
              </w:rPr>
              <w:t xml:space="preserve">扣分细则</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一</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人员、材料、机械管理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75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按合同及招标文件要求配备项目负责人及项目组人员，特种作业人员持有效证件上岗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未按要求配备项目负责人及项目组人员或擅自更换人员的，一次扣2分；特种作业人员未持有效证件上岗的，一次扣2分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7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1.</w:t>
            </w:r>
            <w:r>
              <w:rPr>
                <w:rFonts w:ascii="宋体" w:hAnsi="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进场材料符合国家或行业标准、规范规定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进场材料不符合国家或行业标准、规范规定，一次扣</w:t>
            </w:r>
            <w:r>
              <w:rPr>
                <w:rFonts w:ascii="宋体" w:hAnsi="宋体"/>
                <w:szCs w:val="21"/>
              </w:rPr>
              <w:t xml:space="preserve">1</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72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1.</w:t>
            </w:r>
            <w:r>
              <w:rPr>
                <w:rFonts w:ascii="宋体" w:hAnsi="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按合同及招标文件要求配置机械设备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未按合同及招标文件要求配置机械设备，扣2分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二</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维护作业管理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ascii="宋体" w:hAnsi="宋体"/>
                <w:szCs w:val="21"/>
              </w:rPr>
              <w:t xml:space="preserve">3</w:t>
            </w:r>
            <w:r>
              <w:rPr>
                <w:rFonts w:hint="eastAsia"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按要求编制周维护计划、月度维护计划；及时上报周维护报表、月度维护报表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未按要求编制和及时上报周维护计划、月度维护计划，一次扣2分，未及时上报维护报表，一次扣2分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根据维护任务单、批准的周维护计划、月度维护计划组织安排维护任务，并按招标文件要求及规范进行自检自查，且有检查记录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未根据维护任务单、批准的周维护计划、月度维护计划组织安排维护任务，扣3分；未按招标文件要求及规范进行自检自查，且未有检查记录，扣2分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日常维护修复及时率符合招标文件要求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日常维护修复及时率不符合招标文件要求，一次扣</w:t>
            </w:r>
            <w:r>
              <w:rPr>
                <w:rFonts w:ascii="宋体" w:hAnsi="宋体"/>
                <w:szCs w:val="21"/>
              </w:rPr>
              <w:t xml:space="preserve">1</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维护过程中，作业人员按要求统一着装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作业人员未按要求统一着装，一次扣0.5分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946"/>
        </w:trPr>
        <w:tc>
          <w:tcPr>
            <w:tcBorders>
              <w:top w:val="single" w:color="auto" w:sz="4" w:space="0"/>
              <w:left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2.5</w:t>
            </w:r>
            <w:r/>
          </w:p>
        </w:tc>
        <w:tc>
          <w:tcPr>
            <w:gridSpan w:val="2"/>
            <w:tcBorders>
              <w:top w:val="single" w:color="auto" w:sz="4" w:space="0"/>
              <w:left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维护作业应该采取降尘措施，避免造成环境污染；作业现场材料堆放整齐有序；作业完成后做到工完场清</w:t>
            </w:r>
            <w:r>
              <w:rPr>
                <w:rFonts w:ascii="宋体" w:hAnsi="宋体"/>
                <w:szCs w:val="21"/>
              </w:rPr>
              <w:t xml:space="preserve"> </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维护作业未采取降尘措施，造成环境污染，一次扣</w:t>
            </w:r>
            <w:r>
              <w:rPr>
                <w:rFonts w:ascii="宋体" w:hAnsi="宋体"/>
                <w:szCs w:val="21"/>
              </w:rPr>
              <w:t xml:space="preserve">1</w:t>
            </w:r>
            <w:r>
              <w:rPr>
                <w:rFonts w:hint="eastAsia" w:ascii="宋体" w:hAnsi="宋体"/>
                <w:szCs w:val="21"/>
              </w:rPr>
              <w:t xml:space="preserve">分；作业现场材料乱堆、乱放污染环境；未做到工完场清，一次扣</w:t>
            </w:r>
            <w:r>
              <w:rPr>
                <w:rFonts w:ascii="宋体" w:hAnsi="宋体"/>
                <w:szCs w:val="21"/>
              </w:rPr>
              <w:t xml:space="preserve">1</w:t>
            </w:r>
            <w:r>
              <w:rPr>
                <w:rFonts w:hint="eastAsia" w:ascii="宋体" w:hAnsi="宋体"/>
                <w:szCs w:val="21"/>
              </w:rPr>
              <w:t xml:space="preserve">分</w:t>
            </w:r>
            <w:r/>
          </w:p>
        </w:tc>
        <w:tc>
          <w:tcPr>
            <w:tcBorders>
              <w:top w:val="single" w:color="auto" w:sz="4" w:space="0"/>
              <w:left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2.6</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新闻媒体曝光或社会投诉事件及时回复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新闻媒体曝光或社会投诉事件回复不及时，一次扣2分，造成严重影响一次扣5分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58"/>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三</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维护质量管理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3.1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维护质量满足招标文件要求，维护合格率100%；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零星维护质量不符合规范或招标文件要求，一次扣1分；专项维护一次性交验合格率未达到100%，一次扣2分。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3.2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工序检测合格率100%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工序检测不符合规范或招标文件要求。一次扣1分。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3.3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日常台账记录及维护项目资料整理归档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台账记录有缺失、维护项目资料整理归档不及时、不完整，一次扣0.5分。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3.4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市政设施完好率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市政设施完好率在合同期内达到良好以上等级及达到优秀以上等级每下降超过1%扣1分。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四</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安全文明管理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建立健全市政道路桥梁维护安全管理组织机构，明确职责分工。制定完善的市政道路桥梁维护安全管理制度、操作规程</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建立组织架构，明确职责分工。各岗位缺失或不明确一个扣1分。或者执行岗位职责明显不到位一次扣1分。建立组织架构及各类制度，缺少一个扣1分。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定期开展市政道路桥梁维护安全教育培训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根据各标段特点每季度开展安全教育培训，缺少一次扣1分。各专项维护项目开工前组织专项技术交底，缺少一次扣2分。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按照规范要求对市政道路桥梁进行日常</w:t>
            </w:r>
            <w:r>
              <w:rPr>
                <w:rFonts w:hint="eastAsia" w:ascii="宋体" w:hAnsi="宋体"/>
                <w:szCs w:val="21"/>
              </w:rPr>
              <w:t xml:space="preserve">维护（含市政设施维护项目现场安全、文明、环保等措施是否到位以及渣土处置是否合规）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现场安全、文明、环保、渣土运输等措施不到位1次扣2分。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建立健全市政道路桥梁安全</w:t>
            </w:r>
            <w:r>
              <w:rPr>
                <w:rFonts w:hint="eastAsia" w:ascii="宋体" w:hAnsi="宋体"/>
                <w:szCs w:val="21"/>
              </w:rPr>
              <w:t xml:space="preserve">检查及</w:t>
            </w:r>
            <w:r>
              <w:rPr>
                <w:rFonts w:ascii="宋体" w:hAnsi="宋体"/>
                <w:szCs w:val="21"/>
              </w:rPr>
              <w:t xml:space="preserve">隐患排查治理机制。定期开展市政道路桥梁安全隐患排查，建立隐患台账</w:t>
            </w:r>
            <w:r>
              <w:rPr>
                <w:rFonts w:hint="eastAsia" w:ascii="宋体" w:hAnsi="宋体"/>
                <w:szCs w:val="21"/>
              </w:rPr>
              <w:t xml:space="preserve">。</w:t>
            </w:r>
            <w:r>
              <w:rPr>
                <w:rFonts w:ascii="宋体" w:hAnsi="宋体"/>
                <w:szCs w:val="21"/>
              </w:rPr>
              <w:t xml:space="preserve">制定整改方案，落实整改措施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每年开展道路桥梁隐患排查不少于6次，未定期</w:t>
            </w:r>
            <w:r>
              <w:rPr>
                <w:rFonts w:ascii="宋体" w:hAnsi="宋体"/>
                <w:szCs w:val="21"/>
              </w:rPr>
              <w:t xml:space="preserve">开展市政道路桥梁安全隐患排查</w:t>
            </w:r>
            <w:r>
              <w:rPr>
                <w:rFonts w:hint="eastAsia" w:ascii="宋体" w:hAnsi="宋体"/>
                <w:szCs w:val="21"/>
              </w:rPr>
              <w:t xml:space="preserve">或者隐患台账缺失一次扣1分；隐患整改不到位一次扣2分。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制定完善</w:t>
            </w:r>
            <w:r>
              <w:rPr>
                <w:rFonts w:hint="eastAsia" w:ascii="宋体" w:hAnsi="宋体"/>
                <w:szCs w:val="21"/>
              </w:rPr>
              <w:t xml:space="preserve">各类</w:t>
            </w:r>
            <w:r>
              <w:rPr>
                <w:rFonts w:ascii="宋体" w:hAnsi="宋体"/>
                <w:szCs w:val="21"/>
              </w:rPr>
              <w:t xml:space="preserve">市政道路桥梁突发事件应急预案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未建立预案或预案明显不合理、不全面扣1分。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做好应急人员、物资</w:t>
            </w:r>
            <w:r>
              <w:rPr>
                <w:rFonts w:ascii="宋体" w:hAnsi="宋体"/>
                <w:szCs w:val="21"/>
              </w:rPr>
              <w:t xml:space="preserve">和设备</w:t>
            </w:r>
            <w:r>
              <w:rPr>
                <w:rFonts w:hint="eastAsia" w:ascii="宋体" w:hAnsi="宋体"/>
                <w:szCs w:val="21"/>
              </w:rPr>
              <w:t xml:space="preserve">的管理，根据实际情况开展应急处置，</w:t>
            </w:r>
            <w:r>
              <w:rPr>
                <w:rFonts w:ascii="宋体" w:hAnsi="宋体"/>
                <w:szCs w:val="21"/>
              </w:rPr>
              <w:t xml:space="preserve">定期组织开展市政道路桥梁突发事件应急演练</w:t>
            </w:r>
            <w:r>
              <w:rPr>
                <w:rFonts w:hint="eastAsia" w:ascii="宋体" w:hAnsi="宋体"/>
                <w:szCs w:val="21"/>
              </w:rPr>
              <w:t xml:space="preserve">。配合各级管理部门处置各类应急工作。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按要求配备并管理好应急人员、物资和设备。管理不到位一次扣1分。每年根据应急预案开展不少于一次应急演练。未组织应急演练扣2分。按照各级管理部门要求开展应急处置，配合不到位、处置不积极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认真执行省、市、区各级安全主管部门下发的相关文件</w:t>
            </w: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未执行各级安全主管部门相关文件精神或执行不到位扣1分。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管养范围内因市政设施损坏应及时维修而避免造成安全事故；维护作业过程中应当做好对作业范围内管线、绿化等设施的保护工作，不损坏其他设施。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管养范围内因市政设施损坏未及时维修而造成安全事故，一次扣2分；维护作业过程中因未做好对作业范围内管线、绿化等设施的保护工作，导致其他设施损坏，一次扣0.</w:t>
            </w:r>
            <w:r>
              <w:rPr>
                <w:rFonts w:ascii="宋体" w:hAnsi="宋体"/>
                <w:szCs w:val="21"/>
              </w:rPr>
              <w:t xml:space="preserve">5</w:t>
            </w:r>
            <w:r>
              <w:rPr>
                <w:rFonts w:hint="eastAsia" w:ascii="宋体" w:hAnsi="宋体"/>
                <w:szCs w:val="21"/>
              </w:rPr>
              <w:t xml:space="preserve">分，未及时恢复造成不良影响的，一次扣</w:t>
            </w:r>
            <w:r>
              <w:rPr>
                <w:rFonts w:ascii="宋体" w:hAnsi="宋体"/>
                <w:szCs w:val="21"/>
              </w:rPr>
              <w:t xml:space="preserve">2</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64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五</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巡视检查管理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按照合同要求配置巡视人员，且定人定岗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未按照合同要求配置巡视人员且未定人定岗，扣</w:t>
            </w:r>
            <w:r>
              <w:rPr>
                <w:rFonts w:ascii="宋体" w:hAnsi="宋体"/>
                <w:szCs w:val="21"/>
              </w:rPr>
              <w:t xml:space="preserve">2</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按要求建立巡视检查及台账管理制度；按要求进行巡视岗前培训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未建立巡视检查及台账管理制度；扣2分；未进行巡视岗前培训，无法提供培训记录，扣1分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巡视人员按要求进行巡视；按要求填写巡视记录，做到真</w:t>
            </w:r>
            <w:r>
              <w:rPr>
                <w:rFonts w:hint="eastAsia" w:ascii="宋体" w:hAnsi="宋体"/>
                <w:szCs w:val="21"/>
              </w:rPr>
              <w:t xml:space="preserve">实、准确、完整； 协助甲方做好相关道路管养系统的信息填报及更新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巡视人员未按要求进行巡视，一次扣0.5分；未按要求填写巡视记录或巡</w:t>
            </w:r>
            <w:r>
              <w:rPr>
                <w:rFonts w:hint="eastAsia" w:ascii="宋体" w:hAnsi="宋体"/>
                <w:szCs w:val="21"/>
              </w:rPr>
              <w:t xml:space="preserve">视记录填写不真实、准确、完整，一次扣0.5分；未协助甲方做好道路管养系统的信息填报及更新的，扣2分，更新不及时一次扣1分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53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巡视人员发现市政设施严重破损或破损设施存在安全隐患、违章占用及挖掘等违反《苏州市市政设施管理条例》，影响道路安全稳定运行的情况，及时上报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巡视人员发现市政设施严重破损存在安全隐患、违章占用及挖掘等违反《苏州市市政设施管理条例》，影响道路安全稳定运行的情况，未及时上报，一次扣2分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60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5.5</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巡视人员按规定统一着装；按要求配置巡视车辆且带警示标志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巡视人员未按规定统一着装，发现一次扣0.5分；未按按要求配置巡视车辆且带警示标志，扣2分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hint="eastAsia" w:ascii="宋体" w:hAnsi="宋体"/>
                <w:szCs w:val="21"/>
              </w:rPr>
            </w:pPr>
            <w:r>
              <w:rPr>
                <w:rFonts w:hint="eastAsia" w:ascii="宋体" w:hAnsi="宋体"/>
                <w:szCs w:val="21"/>
              </w:rPr>
              <w:t xml:space="preserve">总分</w:t>
            </w:r>
            <w:r/>
          </w:p>
        </w:tc>
        <w:tc>
          <w:tcPr>
            <w:gridSpan w:val="5"/>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4002"/>
        </w:trPr>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rPr>
                <w:rFonts w:hint="eastAsia" w:ascii="宋体" w:hAnsi="宋体"/>
                <w:szCs w:val="21"/>
              </w:rPr>
            </w:pPr>
            <w:r>
              <w:rPr>
                <w:rFonts w:hint="eastAsia" w:ascii="宋体" w:hAnsi="宋体"/>
                <w:szCs w:val="21"/>
              </w:rPr>
              <w:t xml:space="preserve">考核人/考核单位：</w:t>
            </w:r>
            <w:r/>
          </w:p>
        </w:tc>
        <w:tc>
          <w:tcPr>
            <w:gridSpan w:val="5"/>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1447"/>
        </w:trPr>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rPr>
                <w:rFonts w:hint="eastAsia" w:ascii="宋体" w:hAnsi="宋体"/>
                <w:szCs w:val="21"/>
              </w:rPr>
            </w:pPr>
            <w:r>
              <w:rPr>
                <w:rFonts w:hint="eastAsia" w:ascii="宋体" w:hAnsi="宋体"/>
                <w:szCs w:val="21"/>
              </w:rPr>
              <w:t xml:space="preserve">被考核人/被考核单位：</w:t>
            </w:r>
            <w:r/>
          </w:p>
        </w:tc>
        <w:tc>
          <w:tcPr>
            <w:gridSpan w:val="5"/>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rPr>
                <w:rFonts w:hint="eastAsia" w:ascii="宋体" w:hAnsi="宋体"/>
                <w:szCs w:val="21"/>
              </w:rPr>
            </w:pPr>
            <w:r>
              <w:rPr>
                <w:rFonts w:hint="eastAsia" w:ascii="宋体" w:hAnsi="宋体"/>
                <w:szCs w:val="21"/>
              </w:rPr>
            </w:r>
            <w:r/>
          </w:p>
        </w:tc>
      </w:tr>
    </w:tbl>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（十）其他要求：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（1）中标人需严格按照采购人制定的《维护管理制度》开展日常工作。</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（2）中标人需提前做好人员培训，安排人员熟悉场地及日常工作流程，确保交接工作顺利进行。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w:t>
      </w:r>
      <w:r>
        <w:rPr>
          <w:rFonts w:ascii="宋体" w:hAnsi="宋体" w:cs="仿宋"/>
          <w:sz w:val="24"/>
        </w:rPr>
        <w:t xml:space="preserve">3</w:t>
      </w:r>
      <w:r>
        <w:rPr>
          <w:rFonts w:hint="eastAsia" w:ascii="宋体" w:hAnsi="宋体" w:cs="仿宋"/>
          <w:sz w:val="24"/>
        </w:rPr>
        <w:t xml:space="preserve">）本项目中设施维护部分，除因人为因素、不可抗力等原因造成损坏，否则同一部位同一工作内容服务期内不重复计量。</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（4）若中标人在服务管理期间，违反下列规定将被解除服务合同：</w:t>
      </w:r>
      <w:r/>
    </w:p>
    <w:p>
      <w:pPr>
        <w:ind w:firstLine="420"/>
        <w:spacing w:line="360" w:lineRule="auto"/>
        <w:tabs>
          <w:tab w:val="left" w:pos="840" w:leader="none"/>
        </w:tabs>
        <w:rPr>
          <w:rFonts w:hint="eastAsia" w:ascii="宋体" w:hAnsi="宋体" w:cs="仿宋"/>
          <w:b/>
          <w:sz w:val="24"/>
        </w:rPr>
      </w:pPr>
      <w:r>
        <w:rPr>
          <w:rFonts w:ascii="宋体" w:hAnsi="宋体" w:cs="仿宋"/>
          <w:sz w:val="24"/>
        </w:rPr>
        <w:t xml:space="preserve">①将服务项目全部转包他人；</w:t>
      </w:r>
      <w:r/>
    </w:p>
    <w:p>
      <w:pPr>
        <w:ind w:firstLine="420"/>
        <w:spacing w:line="360" w:lineRule="auto"/>
        <w:tabs>
          <w:tab w:val="left" w:pos="840" w:leader="none"/>
        </w:tabs>
        <w:rPr>
          <w:rFonts w:hint="eastAsia" w:ascii="宋体" w:hAnsi="宋体" w:cs="仿宋"/>
          <w:b/>
          <w:sz w:val="24"/>
        </w:rPr>
      </w:pPr>
      <w:r>
        <w:rPr>
          <w:rFonts w:ascii="宋体" w:hAnsi="宋体" w:cs="仿宋"/>
          <w:sz w:val="24"/>
        </w:rPr>
        <w:t xml:space="preserve">②累计2次月度考核低于80分的；巡视、监控工作不力，新闻媒体曝光及群众投拆经查属实且有责三次以上（含三次）；突发事件（如灾害性天气）或重大活动期间，无故不执行指令性任务或未按相关要求、标准完成任务，达二次以上（含二次）；或出现其它重大违规违约情形的。</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（5）因中标人管理不善，造成工作范围内的设施、设备等损坏的，由直接责任人赔偿，若直接责任人因故无法赔偿的，采购单位有权要求中标单位赔偿损失。</w:t>
      </w:r>
      <w:r/>
    </w:p>
    <w:p>
      <w:pPr>
        <w:ind w:firstLine="422"/>
        <w:spacing w:line="360" w:lineRule="auto"/>
        <w:tabs>
          <w:tab w:val="left" w:pos="840" w:leader="none"/>
        </w:tabs>
        <w:rPr>
          <w:rFonts w:hint="eastAsia" w:ascii="宋体" w:hAnsi="宋体" w:cs="仿宋"/>
          <w:sz w:val="24"/>
        </w:rPr>
      </w:pPr>
      <w:r>
        <w:rPr>
          <w:rFonts w:hint="eastAsia" w:ascii="宋体" w:hAnsi="宋体" w:cs="仿宋"/>
          <w:b/>
          <w:sz w:val="24"/>
        </w:rPr>
        <w:t xml:space="preserve">四、综合说明</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1、各供应商提供的服务能够至少达到招标文件要求，如果其中某些条款不响应时，应在文件中逐条列出，未列出的视同响应。</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2、投标人需在投标文件中明确服务内容和服务方案。</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3、投标人应对所投项目的全部内容进行报价，只投其中部分内容者或出现选择性报价的，其投标文件将被拒绝。</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4、其他要求：</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4.1供应商在项目进行过程中产生的任何安全、损坏等责任事故一律由供应商自行承担。如遇突发情况，供应商需协助采购人完成需要配合的服务。</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4.2供应商需严格按采购文件的约定完成工作内容，如在实施的过程中出现错误、误差、质量不合格的，供应商需及时更正至采购人确认并验收合格。</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4.3本项目不允许转包、分包，发现查实者一律取消合同。</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4.4供应商应对服务危险性、潜在危险认真考虑周全，对所有项目安全负责，并承担由此可能产生的一切费用，采购人不承担任何责任；如需采购人配合的工作，供应商需及时通知采购方。</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5、投标单位应自行现场踏勘以充分了解市政</w:t>
      </w:r>
      <w:r>
        <w:rPr>
          <w:rFonts w:hint="eastAsia" w:ascii="宋体" w:hAnsi="宋体" w:cs="仿宋"/>
          <w:sz w:val="24"/>
        </w:rPr>
        <w:t xml:space="preserve">维护</w:t>
      </w:r>
      <w:r>
        <w:rPr>
          <w:rFonts w:hint="eastAsia" w:ascii="宋体" w:hAnsi="宋体" w:cs="仿宋"/>
          <w:sz w:val="24"/>
        </w:rPr>
        <w:t xml:space="preserve">区域位置、情况、桥梁、排水、沿线安全设施、储存空间、装卸限制及任何其他足以影响投标报价的情况，任何因忽视或误解市政</w:t>
      </w:r>
      <w:r>
        <w:rPr>
          <w:rFonts w:hint="eastAsia" w:ascii="宋体" w:hAnsi="宋体" w:cs="仿宋"/>
          <w:sz w:val="24"/>
        </w:rPr>
        <w:t xml:space="preserve">维护</w:t>
      </w:r>
      <w:r>
        <w:rPr>
          <w:rFonts w:hint="eastAsia" w:ascii="宋体" w:hAnsi="宋体" w:cs="仿宋"/>
          <w:sz w:val="24"/>
        </w:rPr>
        <w:t xml:space="preserve">区域现场情况而导致的索赔或工期延长申请将不被批准；投标单位踏勘现场，充分考虑现场实际情况及项目概况要求中提及的各项费用。中标后，中标单位不得以任何形式以不了解现场情况为由提出费用调整，结算时不予调整。</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6、下列各项费用应包含在投标报价中：</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(1)完成本服务项目所需的一切费用；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(2)本项目巡视费用按月包干，供应商应当结合工作内容及要求，充分考虑投入人员、车辆、设备等产生的费用，巡视人员需配备的终端（安卓系统智能手机）费用；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(3)本项目应急管理费用按月包干，供应商应当结合工作内容及要求，充分考虑应急人员（含联络人员、作业人员、值班人员等）、24小时待命车辆及设备（含机驾人员）等产生的费用，应当考虑应急演练费用；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(4)预算编制工作量按暂估数量计入，结算时根据现场发生实际数量调整；</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(5)本项目所有余方弃置运输必须满足政府相关文件要求，运距包干，弃土点堆置场地自行落实。</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(6)道路维护作业拆除废料全部由中标供应商按要求外运弃置，需包含垃圾外运费用，倾倒地点应符合苏州市的规定。</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(7)维护所需混凝土采用商品砼。</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(8)本项目所产生的一切水电费用，由中标单位自行承担；</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(9)作业范围内障碍物的清除、外运费用； </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(10)运输线路上的道路维护、保洁费用；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(11)建筑物、构筑物、地下及地上管道和杆线、古树名木等场内外原有设施的排险加固费用；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(12)为保证安全作业及过往行人、车辆的安全通行实施的围栏、硬化、保卫、看护、夜间照明等作业措施；发生任何事故所需承担的一切责任及义务均由中标单位承担；</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(13)根据苏州市有关规定办理相关申请、审批、保证、批准手续所需的费用；</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w:t>
      </w:r>
      <w:r>
        <w:rPr>
          <w:rFonts w:ascii="宋体" w:hAnsi="宋体" w:cs="仿宋"/>
          <w:sz w:val="24"/>
        </w:rPr>
        <w:t xml:space="preserve">4</w:t>
      </w:r>
      <w:r>
        <w:rPr>
          <w:rFonts w:hint="eastAsia" w:ascii="宋体" w:hAnsi="宋体" w:cs="仿宋"/>
          <w:sz w:val="24"/>
        </w:rPr>
        <w:t xml:space="preserve">)因维护作业造成的周边的设施、设备及其他附属物的污染、破损，维护单位进行复原产生的费用</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w:t>
      </w:r>
      <w:r>
        <w:rPr>
          <w:rFonts w:ascii="宋体" w:hAnsi="宋体" w:cs="仿宋"/>
          <w:sz w:val="24"/>
        </w:rPr>
        <w:t xml:space="preserve">5</w:t>
      </w:r>
      <w:r>
        <w:rPr>
          <w:rFonts w:hint="eastAsia" w:ascii="宋体" w:hAnsi="宋体" w:cs="仿宋"/>
          <w:sz w:val="24"/>
        </w:rPr>
        <w:t xml:space="preserve">)通过现场踏勘，作为有经验的供应商可预见的其他一切工作内容所需的费用</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(1</w:t>
      </w:r>
      <w:r>
        <w:rPr>
          <w:rFonts w:ascii="宋体" w:hAnsi="宋体" w:cs="仿宋"/>
          <w:sz w:val="24"/>
        </w:rPr>
        <w:t xml:space="preserve">6</w:t>
      </w:r>
      <w:r>
        <w:rPr>
          <w:rFonts w:hint="eastAsia" w:ascii="宋体" w:hAnsi="宋体" w:cs="仿宋"/>
          <w:sz w:val="24"/>
        </w:rPr>
        <w:t xml:space="preserve">)清单标注库存料的应当考虑材料从采购人仓库运输至维护作业现场的运输费用</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w:t>
      </w:r>
      <w:r>
        <w:rPr>
          <w:rFonts w:ascii="宋体" w:hAnsi="宋体" w:cs="仿宋"/>
          <w:sz w:val="24"/>
        </w:rPr>
        <w:t xml:space="preserve">17</w:t>
      </w:r>
      <w:r>
        <w:rPr>
          <w:rFonts w:hint="eastAsia" w:ascii="宋体" w:hAnsi="宋体" w:cs="仿宋"/>
          <w:sz w:val="24"/>
        </w:rPr>
        <w:t xml:space="preserve">)交通执勤费是在专项维护过程中，按交警部门要求配置一定数量的安保人员，并配合交警进行交通秩序管理的费用，零星维护及交警部门未要求配</w:t>
      </w:r>
      <w:r>
        <w:rPr>
          <w:rFonts w:hint="eastAsia" w:ascii="宋体" w:hAnsi="宋体" w:cs="仿宋"/>
          <w:sz w:val="24"/>
        </w:rPr>
        <w:t xml:space="preserve">备交通秩序管理人员的专项维护不计此费用，但中标单位仍需做好现场交通引导工作并在对应的清单内考虑相关费用</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w:t>
      </w:r>
      <w:r>
        <w:rPr>
          <w:rFonts w:ascii="宋体" w:hAnsi="宋体" w:cs="仿宋"/>
          <w:sz w:val="24"/>
        </w:rPr>
        <w:t xml:space="preserve">18</w:t>
      </w:r>
      <w:r>
        <w:rPr>
          <w:rFonts w:hint="eastAsia" w:ascii="宋体" w:hAnsi="宋体" w:cs="仿宋"/>
          <w:sz w:val="24"/>
        </w:rPr>
        <w:t xml:space="preserve">)投标单位须考虑夜间及节假日维护作业措施费用</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w:t>
      </w:r>
      <w:r>
        <w:rPr>
          <w:rFonts w:ascii="宋体" w:hAnsi="宋体" w:cs="仿宋"/>
          <w:sz w:val="24"/>
        </w:rPr>
        <w:t xml:space="preserve">19</w:t>
      </w:r>
      <w:r>
        <w:rPr>
          <w:rFonts w:hint="eastAsia" w:ascii="宋体" w:hAnsi="宋体" w:cs="仿宋"/>
          <w:sz w:val="24"/>
        </w:rPr>
        <w:t xml:space="preserve">)中标单位须为本项目维护设施缴纳公众责任保险，费用须包含在投标报价中</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w:t>
      </w:r>
      <w:r>
        <w:rPr>
          <w:rFonts w:ascii="宋体" w:hAnsi="宋体" w:cs="仿宋"/>
          <w:sz w:val="24"/>
        </w:rPr>
        <w:t xml:space="preserve">20</w:t>
      </w:r>
      <w:r>
        <w:rPr>
          <w:rFonts w:hint="eastAsia" w:ascii="宋体" w:hAnsi="宋体" w:cs="仿宋"/>
          <w:sz w:val="24"/>
        </w:rPr>
        <w:t xml:space="preserve">)因审计核减率高于7</w:t>
      </w:r>
      <w:r>
        <w:rPr>
          <w:rFonts w:ascii="宋体" w:hAnsi="宋体" w:cs="仿宋"/>
          <w:sz w:val="24"/>
        </w:rPr>
        <w:t xml:space="preserve">%</w:t>
      </w:r>
      <w:r>
        <w:rPr>
          <w:rFonts w:hint="eastAsia" w:ascii="宋体" w:hAnsi="宋体" w:cs="仿宋"/>
          <w:sz w:val="24"/>
        </w:rPr>
        <w:t xml:space="preserve">产生的超额审计费用</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w:t>
      </w:r>
      <w:r>
        <w:rPr>
          <w:rFonts w:ascii="宋体" w:hAnsi="宋体" w:cs="仿宋"/>
          <w:sz w:val="24"/>
        </w:rPr>
        <w:t xml:space="preserve">1</w:t>
      </w:r>
      <w:r>
        <w:rPr>
          <w:rFonts w:hint="eastAsia" w:ascii="宋体" w:hAnsi="宋体" w:cs="仿宋"/>
          <w:sz w:val="24"/>
        </w:rPr>
        <w:t xml:space="preserve">)维护中使用的原材料、成品、半成品等，若经第三方检测机构检测结果不合格，检测费用由中标单位承担</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(2</w:t>
      </w:r>
      <w:r>
        <w:rPr>
          <w:rFonts w:ascii="宋体" w:hAnsi="宋体" w:cs="仿宋"/>
          <w:sz w:val="24"/>
        </w:rPr>
        <w:t xml:space="preserve">2</w:t>
      </w:r>
      <w:r>
        <w:rPr>
          <w:rFonts w:hint="eastAsia" w:ascii="宋体" w:hAnsi="宋体" w:cs="仿宋"/>
          <w:sz w:val="24"/>
        </w:rPr>
        <w:t xml:space="preserve">)其他完成本项目全部服务内容所产生的费用</w:t>
      </w:r>
      <w:r>
        <w:rPr>
          <w:rFonts w:hint="eastAsia" w:ascii="宋体" w:hAnsi="宋体" w:cs="仿宋"/>
          <w:sz w:val="24"/>
        </w:rPr>
        <w:t xml:space="preserve">；</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7、服务地点：采购人指定地点。</w:t>
      </w:r>
      <w:r/>
    </w:p>
    <w:p>
      <w:pPr>
        <w:ind w:firstLine="420"/>
        <w:spacing w:line="360" w:lineRule="auto"/>
        <w:tabs>
          <w:tab w:val="left" w:pos="840" w:leader="none"/>
        </w:tabs>
        <w:rPr>
          <w:rFonts w:hint="eastAsia" w:ascii="宋体" w:hAnsi="宋体" w:cs="仿宋"/>
          <w:sz w:val="24"/>
        </w:rPr>
      </w:pPr>
      <w:r>
        <w:rPr>
          <w:rFonts w:hint="eastAsia" w:ascii="宋体" w:hAnsi="宋体" w:cs="仿宋"/>
          <w:sz w:val="24"/>
        </w:rPr>
        <w:t xml:space="preserve">8、验收：</w:t>
      </w:r>
      <w:r/>
    </w:p>
    <w:p>
      <w:pPr>
        <w:ind w:firstLine="480"/>
        <w:spacing w:line="360" w:lineRule="auto"/>
        <w:rPr>
          <w:rFonts w:hint="eastAsia" w:ascii="宋体" w:hAnsi="宋体" w:cs="宋体"/>
          <w:sz w:val="24"/>
        </w:rPr>
      </w:pPr>
      <w:r>
        <w:rPr>
          <w:rFonts w:hint="eastAsia" w:ascii="宋体" w:hAnsi="宋体" w:cs="宋体"/>
          <w:sz w:val="24"/>
        </w:rPr>
        <w:t xml:space="preserve">8.1验收依据</w:t>
      </w:r>
      <w:r/>
    </w:p>
    <w:p>
      <w:pPr>
        <w:ind w:firstLine="480"/>
        <w:spacing w:line="360" w:lineRule="auto"/>
        <w:rPr>
          <w:rFonts w:hint="eastAsia" w:ascii="宋体" w:hAnsi="宋体" w:cs="宋体"/>
          <w:sz w:val="24"/>
        </w:rPr>
      </w:pPr>
      <w:r>
        <w:rPr>
          <w:rFonts w:hint="eastAsia" w:ascii="宋体" w:hAnsi="宋体" w:cs="宋体"/>
          <w:sz w:val="24"/>
        </w:rPr>
        <w:t xml:space="preserve">‌法规标准‌：</w:t>
      </w:r>
      <w:r/>
    </w:p>
    <w:p>
      <w:pPr>
        <w:ind w:firstLine="420"/>
        <w:spacing w:line="360" w:lineRule="auto"/>
        <w:tabs>
          <w:tab w:val="left" w:pos="840" w:leader="none"/>
        </w:tabs>
        <w:rPr>
          <w:rFonts w:hint="eastAsia" w:ascii="宋体" w:hAnsi="宋体" w:cs="宋体"/>
          <w:bCs/>
          <w:sz w:val="24"/>
        </w:rPr>
      </w:pPr>
      <w:r>
        <w:rPr>
          <w:rFonts w:hint="eastAsia" w:ascii="宋体" w:hAnsi="宋体" w:cs="宋体"/>
          <w:bCs/>
          <w:sz w:val="24"/>
        </w:rPr>
        <w:t xml:space="preserve">住建部《城镇道路养护技术规范》CJJ 36－2016；</w:t>
      </w:r>
      <w:r/>
    </w:p>
    <w:p>
      <w:pPr>
        <w:ind w:firstLine="420"/>
        <w:spacing w:line="360" w:lineRule="auto"/>
        <w:tabs>
          <w:tab w:val="left" w:pos="840" w:leader="none"/>
        </w:tabs>
        <w:rPr>
          <w:rFonts w:hint="eastAsia" w:ascii="宋体" w:hAnsi="宋体" w:cs="宋体"/>
          <w:bCs/>
          <w:sz w:val="24"/>
        </w:rPr>
      </w:pPr>
      <w:r>
        <w:rPr>
          <w:rFonts w:hint="eastAsia" w:ascii="宋体" w:hAnsi="宋体" w:cs="宋体"/>
          <w:bCs/>
          <w:sz w:val="24"/>
        </w:rPr>
        <w:t xml:space="preserve">住建部《城镇道路工程施工与质量验收规范》 CJJ 1-2008；</w:t>
      </w:r>
      <w:r/>
    </w:p>
    <w:p>
      <w:pPr>
        <w:ind w:firstLine="420"/>
        <w:spacing w:line="360" w:lineRule="auto"/>
        <w:tabs>
          <w:tab w:val="left" w:pos="840" w:leader="none"/>
        </w:tabs>
        <w:rPr>
          <w:rFonts w:hint="eastAsia" w:ascii="宋体" w:hAnsi="宋体" w:cs="宋体"/>
          <w:bCs/>
          <w:sz w:val="24"/>
        </w:rPr>
      </w:pPr>
      <w:r>
        <w:rPr>
          <w:rFonts w:hint="eastAsia" w:ascii="宋体" w:hAnsi="宋体" w:cs="宋体"/>
          <w:bCs/>
          <w:sz w:val="24"/>
        </w:rPr>
        <w:t xml:space="preserve">住建部《建筑与市政工程无障碍通用规范》GB55019-2021；</w:t>
      </w:r>
      <w:r/>
    </w:p>
    <w:p>
      <w:pPr>
        <w:ind w:firstLine="420"/>
        <w:spacing w:line="360" w:lineRule="auto"/>
        <w:tabs>
          <w:tab w:val="left" w:pos="840" w:leader="none"/>
        </w:tabs>
        <w:rPr>
          <w:rFonts w:hint="eastAsia" w:ascii="宋体" w:hAnsi="宋体" w:cs="宋体"/>
          <w:bCs/>
          <w:sz w:val="24"/>
        </w:rPr>
      </w:pPr>
      <w:r>
        <w:rPr>
          <w:rFonts w:hint="eastAsia" w:ascii="宋体" w:hAnsi="宋体" w:cs="宋体"/>
          <w:bCs/>
          <w:sz w:val="24"/>
        </w:rPr>
        <w:t xml:space="preserve">《苏州市区人行道建设标准及规定汇编》（2008 年12 月）；</w:t>
      </w:r>
      <w:r/>
    </w:p>
    <w:p>
      <w:pPr>
        <w:ind w:firstLine="480"/>
        <w:spacing w:line="360" w:lineRule="auto"/>
        <w:rPr>
          <w:rFonts w:hint="eastAsia" w:ascii="宋体" w:hAnsi="宋体" w:cs="宋体"/>
          <w:sz w:val="24"/>
        </w:rPr>
      </w:pPr>
      <w:r>
        <w:rPr>
          <w:rFonts w:hint="eastAsia" w:ascii="宋体" w:hAnsi="宋体" w:cs="宋体"/>
          <w:bCs/>
          <w:sz w:val="24"/>
        </w:rPr>
        <w:t xml:space="preserve">《苏州市市政设施管理条例》（2016年）以及国家、住建部有关专业的现行标准、规范、规程。</w:t>
      </w:r>
      <w:r/>
    </w:p>
    <w:p>
      <w:pPr>
        <w:ind w:firstLine="480"/>
        <w:spacing w:line="360" w:lineRule="auto"/>
        <w:rPr>
          <w:rFonts w:hint="eastAsia" w:ascii="宋体" w:hAnsi="宋体" w:cs="宋体"/>
          <w:sz w:val="24"/>
        </w:rPr>
      </w:pPr>
      <w:r>
        <w:rPr>
          <w:rFonts w:hint="eastAsia" w:ascii="宋体" w:hAnsi="宋体" w:cs="宋体"/>
          <w:sz w:val="24"/>
        </w:rPr>
        <w:t xml:space="preserve">8.2验收组织架构</w:t>
      </w:r>
      <w:r/>
    </w:p>
    <w:p>
      <w:pPr>
        <w:ind w:firstLine="480"/>
        <w:spacing w:line="360" w:lineRule="auto"/>
        <w:rPr>
          <w:rFonts w:hint="eastAsia" w:ascii="宋体" w:hAnsi="宋体" w:cs="宋体"/>
          <w:sz w:val="24"/>
        </w:rPr>
      </w:pPr>
      <w:r/>
      <w:bookmarkStart w:id="71" w:name="OLE_LINK32"/>
      <w:r>
        <w:rPr>
          <w:rFonts w:hint="eastAsia" w:ascii="宋体" w:hAnsi="宋体" w:cs="宋体"/>
          <w:sz w:val="24"/>
        </w:rPr>
        <w:t xml:space="preserve">8.2.</w:t>
      </w:r>
      <w:bookmarkEnd w:id="71"/>
      <w:r>
        <w:rPr>
          <w:rFonts w:hint="eastAsia" w:ascii="宋体" w:hAnsi="宋体" w:cs="宋体"/>
          <w:sz w:val="24"/>
        </w:rPr>
        <w:t xml:space="preserve">1招标单位随机安排工作人员监督关键工序。重点环节可留存影像资料，以便后期责任追根溯源。</w:t>
      </w:r>
      <w:r/>
    </w:p>
    <w:p>
      <w:pPr>
        <w:ind w:firstLine="480"/>
        <w:spacing w:after="120" w:line="360" w:lineRule="auto"/>
        <w:rPr>
          <w:rFonts w:hint="eastAsia" w:ascii="宋体" w:hAnsi="宋体" w:cs="宋体"/>
          <w:sz w:val="24"/>
        </w:rPr>
      </w:pPr>
      <w:r>
        <w:rPr>
          <w:rFonts w:hint="eastAsia" w:ascii="宋体" w:hAnsi="宋体" w:cs="宋体"/>
          <w:sz w:val="24"/>
        </w:rPr>
        <w:t xml:space="preserve">8.2.2采购单位派负责人或邀请行业内专家组成验收专家小组进行验收。 </w:t>
      </w:r>
      <w:r/>
    </w:p>
    <w:p>
      <w:pPr>
        <w:ind w:firstLine="480"/>
        <w:spacing w:after="120" w:line="360" w:lineRule="auto"/>
        <w:rPr>
          <w:rFonts w:hint="eastAsia" w:ascii="宋体" w:hAnsi="宋体" w:cs="宋体"/>
          <w:sz w:val="24"/>
        </w:rPr>
      </w:pPr>
      <w:r>
        <w:rPr>
          <w:rFonts w:hint="eastAsia" w:ascii="宋体" w:hAnsi="宋体" w:cs="宋体"/>
          <w:sz w:val="24"/>
        </w:rPr>
        <w:t xml:space="preserve">8.2.3中标单位提供完整自检资料、服务期间工作证明材料，配合检测与验收‌。</w:t>
      </w:r>
      <w:r/>
    </w:p>
    <w:p>
      <w:pPr>
        <w:ind w:firstLine="480"/>
        <w:spacing w:line="360" w:lineRule="auto"/>
        <w:rPr>
          <w:rFonts w:hint="eastAsia" w:ascii="宋体" w:hAnsi="宋体" w:cs="宋体"/>
          <w:sz w:val="24"/>
        </w:rPr>
      </w:pPr>
      <w:r>
        <w:rPr>
          <w:rFonts w:hint="eastAsia" w:ascii="宋体" w:hAnsi="宋体" w:cs="宋体"/>
          <w:sz w:val="24"/>
        </w:rPr>
        <w:t xml:space="preserve">8.2.4采购单位根据项目实际情况，可委托第三方检测机构对维护情况进行阶段性检测并出具报告。</w:t>
      </w:r>
      <w:r/>
    </w:p>
    <w:p>
      <w:pPr>
        <w:ind w:firstLine="480"/>
        <w:spacing w:line="360" w:lineRule="auto"/>
        <w:rPr>
          <w:rFonts w:hint="eastAsia" w:ascii="宋体" w:hAnsi="宋体" w:cs="宋体"/>
          <w:sz w:val="24"/>
        </w:rPr>
      </w:pPr>
      <w:r>
        <w:rPr>
          <w:rFonts w:hint="eastAsia" w:ascii="宋体" w:hAnsi="宋体" w:cs="宋体"/>
          <w:sz w:val="24"/>
        </w:rPr>
        <w:t xml:space="preserve">待项目到验收环节，确定验收小组，可包含采购方代表（负责合同条款核对）、专家或其他技术人员（技术服务标准检测）、监管单位（政府监管部门</w:t>
      </w:r>
      <w:r>
        <w:rPr>
          <w:rFonts w:hint="eastAsia" w:ascii="宋体" w:hAnsi="宋体" w:cs="宋体"/>
          <w:sz w:val="24"/>
        </w:rPr>
        <w:t xml:space="preserve">或其他部门）、第三方检测机构（争议项仲裁），具体验收团队组成人员按项目实际情况为准。</w:t>
      </w:r>
      <w:r/>
    </w:p>
    <w:p>
      <w:pPr>
        <w:ind w:firstLine="480"/>
        <w:spacing w:line="360" w:lineRule="auto"/>
        <w:rPr>
          <w:rFonts w:hint="eastAsia" w:ascii="宋体" w:hAnsi="宋体" w:cs="宋体"/>
          <w:sz w:val="24"/>
        </w:rPr>
      </w:pPr>
      <w:r>
        <w:rPr>
          <w:rFonts w:hint="eastAsia" w:ascii="宋体" w:hAnsi="宋体" w:cs="宋体"/>
          <w:sz w:val="24"/>
        </w:rPr>
        <w:t xml:space="preserve">8.3现场验收重点</w:t>
      </w:r>
      <w:r/>
    </w:p>
    <w:p>
      <w:pPr>
        <w:ind w:firstLine="480"/>
        <w:spacing w:line="360" w:lineRule="auto"/>
        <w:rPr>
          <w:rFonts w:hint="eastAsia" w:ascii="宋体" w:hAnsi="宋体" w:cs="宋体"/>
          <w:sz w:val="24"/>
        </w:rPr>
      </w:pPr>
      <w:r>
        <w:rPr>
          <w:rFonts w:hint="eastAsia" w:ascii="宋体" w:hAnsi="宋体" w:cs="宋体"/>
          <w:sz w:val="24"/>
        </w:rPr>
        <w:t xml:space="preserve">8.3.1人员签到：在采购方指定地点集合，进行人员签到，核对验收小组人员信息</w:t>
      </w:r>
      <w:r/>
    </w:p>
    <w:p>
      <w:pPr>
        <w:ind w:firstLine="480"/>
        <w:spacing w:line="360" w:lineRule="auto"/>
        <w:rPr>
          <w:rFonts w:hint="eastAsia" w:ascii="宋体" w:hAnsi="宋体" w:cs="宋体"/>
          <w:sz w:val="24"/>
        </w:rPr>
      </w:pPr>
      <w:r>
        <w:rPr>
          <w:rFonts w:hint="eastAsia" w:ascii="宋体" w:hAnsi="宋体" w:cs="宋体"/>
          <w:sz w:val="24"/>
        </w:rPr>
        <w:t xml:space="preserve">8.3.2‌</w:t>
      </w:r>
      <w:r>
        <w:rPr>
          <w:rFonts w:ascii="宋体" w:hAnsi="宋体" w:cs="宋体"/>
          <w:sz w:val="24"/>
        </w:rPr>
        <w:t xml:space="preserve">合同执行情况检查‌：核查</w:t>
      </w:r>
      <w:r>
        <w:rPr>
          <w:rFonts w:hint="eastAsia" w:ascii="宋体" w:hAnsi="宋体" w:cs="宋体"/>
          <w:sz w:val="24"/>
        </w:rPr>
        <w:t xml:space="preserve">项目</w:t>
      </w:r>
      <w:r>
        <w:rPr>
          <w:rFonts w:ascii="宋体" w:hAnsi="宋体" w:cs="宋体"/>
          <w:sz w:val="24"/>
        </w:rPr>
        <w:t xml:space="preserve">是否按合同要求完成。</w:t>
      </w:r>
      <w:r/>
    </w:p>
    <w:p>
      <w:pPr>
        <w:ind w:firstLine="480"/>
        <w:spacing w:line="360" w:lineRule="auto"/>
        <w:rPr>
          <w:rFonts w:hint="eastAsia" w:ascii="宋体" w:hAnsi="宋体" w:cs="宋体"/>
          <w:sz w:val="24"/>
        </w:rPr>
      </w:pPr>
      <w:r>
        <w:rPr>
          <w:rFonts w:hint="eastAsia" w:ascii="宋体" w:hAnsi="宋体" w:cs="宋体"/>
          <w:sz w:val="24"/>
        </w:rPr>
        <w:t xml:space="preserve">8.3.3</w:t>
      </w:r>
      <w:r>
        <w:rPr>
          <w:rFonts w:ascii="宋体" w:hAnsi="宋体" w:cs="宋体"/>
          <w:sz w:val="24"/>
        </w:rPr>
        <w:t xml:space="preserve">‌资料审查‌：检查</w:t>
      </w:r>
      <w:r>
        <w:rPr>
          <w:rFonts w:hint="eastAsia" w:ascii="宋体" w:hAnsi="宋体" w:cs="宋体"/>
          <w:sz w:val="24"/>
        </w:rPr>
        <w:t xml:space="preserve">服务期间的工作档案记录</w:t>
      </w:r>
      <w:r>
        <w:rPr>
          <w:rFonts w:ascii="宋体" w:hAnsi="宋体" w:cs="宋体"/>
          <w:sz w:val="24"/>
        </w:rPr>
        <w:t xml:space="preserve">、</w:t>
      </w:r>
      <w:r>
        <w:rPr>
          <w:rFonts w:hint="eastAsia" w:ascii="宋体" w:hAnsi="宋体" w:cs="宋体"/>
          <w:sz w:val="24"/>
        </w:rPr>
        <w:t xml:space="preserve">服务总结</w:t>
      </w:r>
      <w:r>
        <w:rPr>
          <w:rFonts w:ascii="宋体" w:hAnsi="宋体" w:cs="宋体"/>
          <w:sz w:val="24"/>
        </w:rPr>
        <w:t xml:space="preserve">报告、</w:t>
      </w:r>
      <w:r>
        <w:rPr>
          <w:rFonts w:hint="eastAsia" w:ascii="宋体" w:hAnsi="宋体" w:cs="宋体"/>
          <w:sz w:val="24"/>
        </w:rPr>
        <w:t xml:space="preserve">采购</w:t>
      </w:r>
      <w:r>
        <w:rPr>
          <w:rFonts w:ascii="宋体" w:hAnsi="宋体" w:cs="宋体"/>
          <w:sz w:val="24"/>
        </w:rPr>
        <w:t xml:space="preserve">单位的</w:t>
      </w:r>
      <w:r>
        <w:rPr>
          <w:rFonts w:hint="eastAsia" w:ascii="宋体" w:hAnsi="宋体" w:cs="宋体"/>
          <w:sz w:val="24"/>
        </w:rPr>
        <w:t xml:space="preserve">考核表、中标单位提供的完整自检资料、服务期间工作证明材料、重点环节可留存影像资料（若有）</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8.3.4现场</w:t>
      </w:r>
      <w:r>
        <w:rPr>
          <w:rFonts w:ascii="宋体" w:hAnsi="宋体" w:cs="宋体"/>
          <w:sz w:val="24"/>
        </w:rPr>
        <w:t xml:space="preserve">‌</w:t>
      </w:r>
      <w:r>
        <w:rPr>
          <w:rFonts w:hint="eastAsia" w:ascii="宋体" w:hAnsi="宋体" w:cs="宋体"/>
          <w:sz w:val="24"/>
        </w:rPr>
        <w:t xml:space="preserve">服务内容</w:t>
      </w:r>
      <w:r>
        <w:rPr>
          <w:rFonts w:ascii="宋体" w:hAnsi="宋体" w:cs="宋体"/>
          <w:sz w:val="24"/>
        </w:rPr>
        <w:t xml:space="preserve">检查‌：对</w:t>
      </w:r>
      <w:r>
        <w:rPr>
          <w:rFonts w:hint="eastAsia" w:ascii="宋体" w:hAnsi="宋体" w:cs="宋体"/>
          <w:sz w:val="24"/>
        </w:rPr>
        <w:t xml:space="preserve">服务现场</w:t>
      </w:r>
      <w:r>
        <w:rPr>
          <w:rFonts w:ascii="宋体" w:hAnsi="宋体" w:cs="宋体"/>
          <w:sz w:val="24"/>
        </w:rPr>
        <w:t xml:space="preserve">进行检查，</w:t>
      </w:r>
      <w:r>
        <w:rPr>
          <w:rFonts w:hint="eastAsia" w:ascii="宋体" w:hAnsi="宋体" w:cs="宋体"/>
          <w:sz w:val="24"/>
        </w:rPr>
        <w:t xml:space="preserve">包括结构安全、路面质量等，并对所有缺陷作详细记录，具体现场检查重点如下:</w:t>
      </w:r>
      <w:r/>
    </w:p>
    <w:p>
      <w:pPr>
        <w:ind w:firstLine="480"/>
        <w:spacing w:line="360" w:lineRule="auto"/>
        <w:rPr>
          <w:rFonts w:hint="eastAsia" w:ascii="宋体" w:hAnsi="宋体" w:cs="宋体"/>
          <w:sz w:val="24"/>
        </w:rPr>
      </w:pPr>
      <w:r>
        <w:rPr>
          <w:rFonts w:hint="eastAsia" w:ascii="宋体" w:hAnsi="宋体" w:cs="宋体"/>
          <w:sz w:val="24"/>
        </w:rPr>
        <w:t xml:space="preserve">检查服务范围内道路路面平整度、抗滑性能，是否存在裂缝、坑槽等病害修复质量</w:t>
      </w:r>
      <w:r>
        <w:rPr>
          <w:rFonts w:hint="eastAsia" w:ascii="宋体" w:hAnsi="宋体" w:cs="宋体"/>
          <w:sz w:val="24"/>
        </w:rPr>
        <w:t xml:space="preserve">缺陷。</w:t>
      </w:r>
      <w:r/>
    </w:p>
    <w:p>
      <w:pPr>
        <w:ind w:firstLine="480"/>
        <w:spacing w:line="360" w:lineRule="auto"/>
        <w:rPr>
          <w:rFonts w:hint="eastAsia" w:ascii="宋体" w:hAnsi="宋体" w:cs="宋体"/>
          <w:sz w:val="24"/>
        </w:rPr>
      </w:pPr>
      <w:r>
        <w:rPr>
          <w:rFonts w:hint="eastAsia" w:ascii="宋体" w:hAnsi="宋体" w:cs="宋体"/>
          <w:sz w:val="24"/>
        </w:rPr>
        <w:t xml:space="preserve">8.3.5</w:t>
      </w:r>
      <w:r>
        <w:rPr>
          <w:rFonts w:ascii="宋体" w:hAnsi="宋体" w:cs="宋体"/>
          <w:sz w:val="24"/>
        </w:rPr>
        <w:t xml:space="preserve">‌</w:t>
      </w:r>
      <w:r>
        <w:rPr>
          <w:rFonts w:hint="eastAsia" w:ascii="宋体" w:hAnsi="宋体" w:cs="宋体"/>
          <w:sz w:val="24"/>
        </w:rPr>
        <w:t xml:space="preserve">服务量</w:t>
      </w:r>
      <w:r>
        <w:rPr>
          <w:rFonts w:ascii="宋体" w:hAnsi="宋体" w:cs="宋体"/>
          <w:sz w:val="24"/>
        </w:rPr>
        <w:t xml:space="preserve">核查‌：</w:t>
      </w:r>
      <w:r>
        <w:rPr>
          <w:rFonts w:hint="eastAsia" w:ascii="宋体" w:hAnsi="宋体" w:cs="宋体"/>
          <w:sz w:val="24"/>
        </w:rPr>
        <w:t xml:space="preserve">核对采购人委托的第三方</w:t>
      </w:r>
      <w:r>
        <w:rPr>
          <w:rFonts w:hint="eastAsia" w:ascii="宋体" w:hAnsi="宋体" w:cs="宋体"/>
          <w:sz w:val="24"/>
        </w:rPr>
        <w:t xml:space="preserve">审计</w:t>
      </w:r>
      <w:r>
        <w:rPr>
          <w:rFonts w:hint="eastAsia" w:ascii="宋体" w:hAnsi="宋体" w:cs="宋体"/>
          <w:sz w:val="24"/>
        </w:rPr>
        <w:t xml:space="preserve">机构出具的</w:t>
      </w:r>
      <w:r>
        <w:rPr>
          <w:rFonts w:hint="eastAsia" w:ascii="宋体" w:hAnsi="宋体" w:cs="宋体"/>
          <w:sz w:val="24"/>
        </w:rPr>
        <w:t xml:space="preserve">审核</w:t>
      </w:r>
      <w:r>
        <w:rPr>
          <w:rFonts w:hint="eastAsia" w:ascii="宋体" w:hAnsi="宋体" w:cs="宋体"/>
          <w:sz w:val="24"/>
        </w:rPr>
        <w:t xml:space="preserve">材料与实际服务情况是否属实</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8.3.6</w:t>
      </w:r>
      <w:r>
        <w:rPr>
          <w:rFonts w:ascii="宋体" w:hAnsi="宋体" w:cs="宋体"/>
          <w:sz w:val="24"/>
        </w:rPr>
        <w:t xml:space="preserve">验收结论‌：对合同是否全面执行、</w:t>
      </w:r>
      <w:r>
        <w:rPr>
          <w:rFonts w:hint="eastAsia" w:ascii="宋体" w:hAnsi="宋体" w:cs="宋体"/>
          <w:sz w:val="24"/>
        </w:rPr>
        <w:t xml:space="preserve">服务</w:t>
      </w:r>
      <w:r>
        <w:rPr>
          <w:rFonts w:ascii="宋体" w:hAnsi="宋体" w:cs="宋体"/>
          <w:sz w:val="24"/>
        </w:rPr>
        <w:t xml:space="preserve">质量是否合格做出结论</w:t>
      </w:r>
      <w:r>
        <w:rPr>
          <w:rFonts w:hint="eastAsia" w:ascii="宋体" w:hAnsi="宋体" w:cs="宋体"/>
          <w:sz w:val="24"/>
        </w:rPr>
        <w:t xml:space="preserve">，并现场签订结果意见情况</w:t>
      </w:r>
      <w:r>
        <w:rPr>
          <w:rFonts w:ascii="宋体" w:hAnsi="宋体" w:cs="宋体"/>
          <w:sz w:val="24"/>
        </w:rPr>
        <w:t xml:space="preserve">。</w:t>
      </w:r>
      <w:r/>
    </w:p>
    <w:p>
      <w:pPr>
        <w:pStyle w:val="1289"/>
        <w:ind w:firstLine="480"/>
        <w:spacing w:line="360" w:lineRule="auto"/>
        <w:rPr>
          <w:rFonts w:hint="eastAsia" w:ascii="宋体" w:hAnsi="宋体" w:cs="宋体"/>
          <w:sz w:val="24"/>
          <w:szCs w:val="24"/>
        </w:rPr>
      </w:pPr>
      <w:r>
        <w:rPr>
          <w:rFonts w:hint="eastAsia" w:ascii="宋体" w:hAnsi="宋体" w:cs="宋体"/>
          <w:sz w:val="24"/>
          <w:szCs w:val="24"/>
        </w:rPr>
        <w:t xml:space="preserve">8.4违约情况</w:t>
      </w:r>
      <w:r/>
    </w:p>
    <w:p>
      <w:pPr>
        <w:ind w:firstLine="480"/>
        <w:spacing w:line="360" w:lineRule="auto"/>
        <w:rPr>
          <w:rFonts w:hint="eastAsia" w:ascii="宋体" w:hAnsi="宋体" w:cs="宋体"/>
          <w:sz w:val="24"/>
        </w:rPr>
      </w:pPr>
      <w:r>
        <w:rPr>
          <w:rFonts w:hint="eastAsia" w:ascii="宋体" w:hAnsi="宋体" w:cs="宋体"/>
          <w:sz w:val="24"/>
        </w:rPr>
        <w:t xml:space="preserve">8.4.1乙方不能按期完成维护，或未达到甲方要求从而影响设施正常使用的，甲方有权解除合同。乙方应向甲方偿付合同总价款20%的违约金，违约金不足以补偿损失的甲方有权要求乙方补足。 </w:t>
      </w:r>
      <w:r/>
    </w:p>
    <w:p>
      <w:pPr>
        <w:ind w:firstLine="480"/>
        <w:spacing w:line="360" w:lineRule="auto"/>
        <w:rPr>
          <w:rFonts w:hint="eastAsia" w:ascii="宋体" w:hAnsi="宋体" w:cs="宋体"/>
          <w:sz w:val="24"/>
        </w:rPr>
      </w:pPr>
      <w:r>
        <w:rPr>
          <w:rFonts w:hint="eastAsia" w:ascii="宋体" w:hAnsi="宋体" w:cs="宋体"/>
          <w:sz w:val="24"/>
        </w:rPr>
        <w:t xml:space="preserve">8.4.2合同期间，若乙方不能提供维护服务的，或维护服务不合格从而影响甲方按期正常使用的，应向甲方偿付合同总价款20%的违约金，违约金不足以补偿损失的甲方有权要求乙方补足。</w:t>
      </w:r>
      <w:r/>
    </w:p>
    <w:p>
      <w:pPr>
        <w:ind w:firstLine="480"/>
        <w:spacing w:line="360" w:lineRule="auto"/>
        <w:rPr>
          <w:rFonts w:hint="eastAsia" w:ascii="宋体" w:hAnsi="宋体" w:cs="宋体"/>
          <w:sz w:val="24"/>
        </w:rPr>
      </w:pPr>
      <w:r>
        <w:rPr>
          <w:rFonts w:hint="eastAsia" w:ascii="宋体" w:hAnsi="宋体" w:cs="宋体"/>
          <w:sz w:val="24"/>
        </w:rPr>
        <w:t xml:space="preserve">8.4.3乙方出现违约违规情况的，甲方有权单方解除本合同,且不承担违约和赔偿责任。造成甲方损失的，乙方应负赔偿责任。赔偿款甲方有权从乙方应得的价款中直接扣除，不足部分甲方有权向乙方追索。</w:t>
      </w:r>
      <w:r/>
    </w:p>
    <w:p>
      <w:pPr>
        <w:ind w:firstLine="480"/>
        <w:spacing w:line="360" w:lineRule="auto"/>
        <w:rPr>
          <w:rFonts w:hint="eastAsia" w:ascii="宋体" w:hAnsi="宋体" w:cs="宋体"/>
          <w:sz w:val="24"/>
        </w:rPr>
      </w:pPr>
      <w:r>
        <w:rPr>
          <w:rFonts w:hint="eastAsia" w:ascii="宋体" w:hAnsi="宋体" w:cs="宋体"/>
          <w:sz w:val="24"/>
        </w:rPr>
        <w:t xml:space="preserve">8.5验收时间：甲方根据实际情况在合理时间内进行验收。</w:t>
      </w:r>
      <w:r/>
    </w:p>
    <w:p>
      <w:pPr>
        <w:spacing w:line="360" w:lineRule="auto"/>
        <w:rPr>
          <w:rFonts w:hint="eastAsia" w:ascii="宋体" w:hAnsi="宋体" w:cs="宋体"/>
          <w:sz w:val="24"/>
        </w:rPr>
      </w:pPr>
      <w:r>
        <w:rPr>
          <w:rFonts w:hint="eastAsia" w:ascii="宋体" w:hAnsi="宋体" w:cs="宋体"/>
          <w:sz w:val="24"/>
        </w:rPr>
        <w:t xml:space="preserve">    8.6</w:t>
      </w:r>
      <w:r>
        <w:rPr>
          <w:rFonts w:hint="eastAsia" w:ascii="宋体" w:hAnsi="宋体" w:cs="宋体"/>
          <w:sz w:val="24"/>
        </w:rPr>
        <w:t xml:space="preserve">工作</w:t>
      </w:r>
      <w:r>
        <w:rPr>
          <w:rFonts w:hint="eastAsia" w:ascii="宋体" w:hAnsi="宋体" w:cs="宋体"/>
          <w:sz w:val="24"/>
        </w:rPr>
        <w:t xml:space="preserve">量确认：</w:t>
      </w:r>
      <w:r/>
    </w:p>
    <w:p>
      <w:pPr>
        <w:ind w:firstLine="480"/>
        <w:spacing w:line="360" w:lineRule="auto"/>
        <w:rPr>
          <w:rFonts w:hint="eastAsia" w:ascii="宋体" w:hAnsi="宋体" w:cs="宋体"/>
          <w:sz w:val="24"/>
        </w:rPr>
      </w:pPr>
      <w:r>
        <w:rPr>
          <w:rFonts w:hint="eastAsia" w:ascii="宋体" w:hAnsi="宋体" w:cs="宋体"/>
          <w:sz w:val="24"/>
        </w:rPr>
        <w:t xml:space="preserve">8.6.1维护费工作量由采购人委托第三方审计的方式进行结算，如有在清单范围外的工作内容，则由采购人委托第三方对单价、工作量一并进行审计。</w:t>
      </w:r>
      <w:r/>
    </w:p>
    <w:p>
      <w:pPr>
        <w:ind w:firstLine="480"/>
        <w:spacing w:line="360" w:lineRule="auto"/>
        <w:rPr>
          <w:rFonts w:hint="eastAsia" w:ascii="宋体" w:hAnsi="宋体" w:cs="宋体"/>
          <w:sz w:val="24"/>
        </w:rPr>
      </w:pPr>
      <w:r>
        <w:rPr>
          <w:rFonts w:hint="eastAsia" w:ascii="宋体" w:hAnsi="宋体" w:cs="宋体"/>
          <w:sz w:val="24"/>
        </w:rPr>
        <w:t xml:space="preserve">8.6.2管养费用由中标单位按月度进行汇总，并形成《结算书》，《结算书》按每3个月向采购人上报，由采购人委托第三方审计并出具结算审核报告，审核报告上的每月的审定金额即为当月维护服务费用，除固定费用外不再另行支付任何费用。</w:t>
      </w:r>
      <w:r/>
    </w:p>
    <w:p>
      <w:pPr>
        <w:ind w:firstLine="480"/>
        <w:spacing w:line="360" w:lineRule="auto"/>
        <w:rPr>
          <w:rFonts w:hint="eastAsia" w:ascii="宋体" w:hAnsi="宋体" w:cs="宋体"/>
          <w:sz w:val="24"/>
        </w:rPr>
      </w:pPr>
      <w:r>
        <w:rPr>
          <w:rFonts w:hint="eastAsia" w:ascii="宋体" w:hAnsi="宋体" w:cs="宋体"/>
          <w:sz w:val="24"/>
        </w:rPr>
        <w:t xml:space="preserve">8.7验收报告：</w:t>
      </w:r>
      <w:r/>
    </w:p>
    <w:p>
      <w:pPr>
        <w:ind w:firstLine="480"/>
        <w:spacing w:line="360" w:lineRule="auto"/>
        <w:rPr>
          <w:rFonts w:hint="eastAsia" w:ascii="宋体" w:hAnsi="宋体" w:cs="宋体"/>
          <w:sz w:val="24"/>
        </w:rPr>
      </w:pPr>
      <w:r>
        <w:rPr>
          <w:rFonts w:hint="eastAsia" w:ascii="宋体" w:hAnsi="宋体" w:cs="宋体"/>
          <w:sz w:val="24"/>
        </w:rPr>
        <w:t xml:space="preserve">采购人在每季度付款前对中标单位的服务人员和车辆设备以及完成的工作量进行验收。付款时中标方需向采购方递交由供需双方签章的《政府采购履约验收书》。</w:t>
      </w:r>
      <w:r/>
    </w:p>
    <w:p>
      <w:pPr>
        <w:ind w:firstLine="480"/>
        <w:spacing w:line="360" w:lineRule="auto"/>
        <w:tabs>
          <w:tab w:val="left" w:pos="420" w:leader="none"/>
          <w:tab w:val="left" w:pos="540" w:leader="none"/>
        </w:tabs>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t xml:space="preserve">中标</w:t>
      </w:r>
      <w:r>
        <w:rPr>
          <w:rFonts w:hint="eastAsia" w:ascii="宋体" w:hAnsi="宋体" w:cs="宋体"/>
          <w:bCs/>
          <w:sz w:val="24"/>
        </w:rPr>
        <w:t xml:space="preserve">单位应保证在本项目使用的任何产品（包括部分使用）时，不会产生因第三方提出侵犯其专利权、商标权或其它知识产权而引起的法律和经济纠纷，如因专利权、商标权或其它知识产权而引起法律和经济纠纷，由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bCs/>
          <w:sz w:val="24"/>
        </w:rPr>
        <w:t xml:space="preserve">中标</w:t>
      </w:r>
      <w:r>
        <w:rPr>
          <w:rFonts w:hint="eastAsia" w:ascii="宋体" w:hAnsi="宋体" w:cs="宋体"/>
          <w:bCs/>
          <w:sz w:val="24"/>
        </w:rPr>
        <w:t xml:space="preserve">单位承担所有相关责任。</w:t>
      </w:r>
      <w:r/>
    </w:p>
    <w:p>
      <w:pPr>
        <w:ind w:firstLine="480"/>
        <w:spacing w:line="360" w:lineRule="auto"/>
        <w:rPr>
          <w:rFonts w:hint="eastAsia" w:ascii="宋体" w:hAnsi="宋体" w:cs="宋体"/>
          <w:bCs/>
          <w:sz w:val="24"/>
        </w:rPr>
      </w:pPr>
      <w:r>
        <w:rPr>
          <w:rFonts w:hint="eastAsia" w:ascii="宋体" w:hAnsi="宋体" w:cs="宋体"/>
          <w:bCs/>
          <w:sz w:val="24"/>
        </w:rPr>
        <w:t xml:space="preserve">五</w:t>
      </w:r>
      <w:r>
        <w:rPr>
          <w:rFonts w:hint="eastAsia" w:ascii="宋体" w:hAnsi="宋体" w:cs="宋体"/>
          <w:bCs/>
          <w:sz w:val="24"/>
        </w:rPr>
        <w:t xml:space="preserve">、参照苏州市财政局</w:t>
      </w:r>
      <w:r>
        <w:rPr>
          <w:rFonts w:ascii="宋体" w:hAnsi="宋体" w:cs="宋体"/>
          <w:bCs/>
          <w:sz w:val="24"/>
        </w:rPr>
        <w:t xml:space="preserve">《关于进一步做好政府采购正常贯彻执行工作的通知》</w:t>
      </w:r>
      <w:r>
        <w:rPr>
          <w:rFonts w:hint="eastAsia" w:ascii="宋体" w:hAnsi="宋体" w:cs="宋体"/>
          <w:bCs/>
          <w:sz w:val="24"/>
        </w:rPr>
        <w:t xml:space="preserve">（</w:t>
      </w:r>
      <w:r>
        <w:rPr>
          <w:rFonts w:ascii="宋体" w:hAnsi="宋体" w:cs="宋体"/>
          <w:bCs/>
          <w:sz w:val="24"/>
        </w:rPr>
        <w:t xml:space="preserve">苏财</w:t>
      </w:r>
      <w:r>
        <w:rPr>
          <w:rFonts w:hint="eastAsia" w:ascii="宋体" w:hAnsi="宋体" w:cs="宋体"/>
          <w:bCs/>
          <w:sz w:val="24"/>
        </w:rPr>
        <w:t xml:space="preserve">购（2017）10号）文件的规定；</w:t>
      </w:r>
      <w:r/>
    </w:p>
    <w:p>
      <w:pPr>
        <w:ind w:firstLine="480"/>
        <w:spacing w:line="360" w:lineRule="auto"/>
        <w:tabs>
          <w:tab w:val="left" w:pos="3600" w:leader="none"/>
        </w:tabs>
        <w:rPr>
          <w:rFonts w:hint="eastAsia" w:ascii="宋体" w:hAnsi="宋体" w:cs="宋体"/>
          <w:bCs/>
          <w:sz w:val="24"/>
        </w:rPr>
      </w:pPr>
      <w:r>
        <w:rPr>
          <w:rFonts w:hint="eastAsia" w:ascii="宋体" w:hAnsi="宋体" w:cs="宋体"/>
          <w:bCs/>
          <w:sz w:val="24"/>
        </w:rPr>
        <w:t xml:space="preserve">六</w:t>
      </w:r>
      <w:r>
        <w:rPr>
          <w:rFonts w:hint="eastAsia" w:ascii="宋体" w:hAnsi="宋体" w:cs="宋体"/>
          <w:bCs/>
          <w:sz w:val="24"/>
        </w:rPr>
        <w:t xml:space="preserve">、参照《关于贯彻执行绿色采购、促进残疾人就业和支持监狱企业发展有关政策的通知（苏财购〔2019〕10号）》的通知规定。</w:t>
      </w:r>
      <w:r/>
    </w:p>
    <w:p>
      <w:pPr>
        <w:ind w:firstLine="480"/>
        <w:spacing w:line="360" w:lineRule="auto"/>
        <w:tabs>
          <w:tab w:val="left" w:pos="3600" w:leader="none"/>
        </w:tabs>
        <w:rPr>
          <w:rFonts w:hint="eastAsia" w:ascii="宋体" w:hAnsi="宋体" w:cs="宋体"/>
          <w:bCs/>
          <w:sz w:val="24"/>
        </w:rPr>
      </w:pPr>
      <w:r>
        <w:rPr>
          <w:rFonts w:hint="eastAsia" w:ascii="宋体" w:hAnsi="宋体" w:cs="宋体"/>
          <w:bCs/>
          <w:sz w:val="24"/>
        </w:rPr>
        <w:t xml:space="preserve">七</w:t>
      </w:r>
      <w:r>
        <w:rPr>
          <w:rFonts w:hint="eastAsia" w:ascii="宋体" w:hAnsi="宋体" w:cs="宋体"/>
          <w:bCs/>
          <w:sz w:val="24"/>
        </w:rPr>
        <w:t xml:space="preserve">、参照《转发省财政厅关于做好政府采购支持企业发展有关事项的通知》（苏财购〔2020〕42号）的通知规定执行。</w:t>
      </w:r>
      <w:r/>
    </w:p>
    <w:p>
      <w:pPr>
        <w:ind w:firstLine="480"/>
        <w:spacing w:line="360" w:lineRule="auto"/>
        <w:rPr>
          <w:rFonts w:hint="eastAsia" w:ascii="宋体" w:hAnsi="宋体" w:cs="宋体"/>
          <w:bCs/>
          <w:sz w:val="24"/>
        </w:rPr>
      </w:pPr>
      <w:r>
        <w:rPr>
          <w:rFonts w:hint="eastAsia" w:ascii="宋体" w:hAnsi="宋体" w:cs="宋体"/>
          <w:bCs/>
          <w:sz w:val="24"/>
        </w:rPr>
        <w:t xml:space="preserve">八</w:t>
      </w:r>
      <w:r>
        <w:rPr>
          <w:rFonts w:hint="eastAsia" w:ascii="宋体" w:hAnsi="宋体" w:cs="宋体"/>
          <w:bCs/>
          <w:sz w:val="24"/>
        </w:rPr>
        <w:t xml:space="preserve">、凡涉及招标文件的补充说明和修改，均以苏州政府采购网最后发布的内容为准。</w:t>
      </w:r>
      <w:r/>
    </w:p>
    <w:p>
      <w:pPr>
        <w:spacing w:line="360" w:lineRule="auto"/>
        <w:rPr>
          <w:rFonts w:hint="eastAsia" w:ascii="宋体" w:hAnsi="宋体"/>
          <w:bCs/>
          <w:sz w:val="24"/>
        </w:rPr>
      </w:pPr>
      <w:r>
        <w:rPr>
          <w:rFonts w:hint="eastAsia" w:ascii="宋体" w:hAnsi="宋体"/>
          <w:bCs/>
          <w:sz w:val="24"/>
        </w:rPr>
      </w:r>
      <w:r/>
    </w:p>
    <w:p>
      <w:pPr>
        <w:pStyle w:val="1123"/>
        <w:jc w:val="center"/>
        <w:spacing w:line="360" w:lineRule="auto"/>
        <w:tabs>
          <w:tab w:val="right" w:pos="8302" w:leader="dot"/>
        </w:tabs>
        <w:rPr>
          <w:rStyle w:val="905"/>
          <w:rFonts w:hint="eastAsia" w:ascii="宋体" w:hAnsi="宋体" w:cs="宋体"/>
          <w:b w:val="0"/>
          <w:bCs/>
          <w:color w:val="000000"/>
          <w:szCs w:val="24"/>
        </w:rPr>
      </w:pPr>
      <w:r>
        <w:rPr>
          <w:rFonts w:hint="eastAsia" w:ascii="宋体" w:hAnsi="宋体" w:cs="宋体"/>
          <w:b w:val="0"/>
          <w:bCs/>
          <w:color w:val="000000"/>
          <w:szCs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pStyle w:val="1123"/>
        <w:jc w:val="center"/>
        <w:spacing w:line="360" w:lineRule="auto"/>
        <w:tabs>
          <w:tab w:val="right" w:pos="8302" w:leader="dot"/>
        </w:tabs>
        <w:rPr>
          <w:rStyle w:val="905"/>
          <w:rFonts w:hint="eastAsia" w:ascii="宋体" w:hAnsi="宋体" w:cs="宋体"/>
          <w:b w:val="0"/>
          <w:bCs w:val="0"/>
          <w:color w:val="000000"/>
        </w:rPr>
      </w:pPr>
      <w:r>
        <w:rPr>
          <w:rStyle w:val="905"/>
          <w:rFonts w:hint="eastAsia" w:ascii="宋体" w:hAnsi="宋体" w:cs="宋体"/>
          <w:b w:val="0"/>
          <w:bCs/>
          <w:color w:val="000000"/>
          <w:szCs w:val="24"/>
          <w:highlight w:val="none"/>
        </w:rPr>
      </w:r>
      <w:r>
        <w:rPr>
          <w:rStyle w:val="905"/>
          <w:rFonts w:hint="eastAsia" w:ascii="宋体" w:hAnsi="宋体" w:cs="宋体"/>
          <w:b w:val="0"/>
          <w:bCs/>
          <w:color w:val="000000"/>
          <w:szCs w:val="24"/>
          <w:highlight w:val="none"/>
        </w:rPr>
      </w:r>
      <w:r/>
    </w:p>
    <w:p>
      <w:pPr>
        <w:pStyle w:val="1123"/>
        <w:jc w:val="center"/>
        <w:spacing w:line="360" w:lineRule="auto"/>
        <w:tabs>
          <w:tab w:val="right" w:pos="8302" w:leader="dot"/>
        </w:tabs>
        <w:rPr>
          <w:rStyle w:val="905"/>
          <w:rFonts w:hint="eastAsia" w:ascii="宋体" w:hAnsi="宋体" w:cs="宋体"/>
          <w:b w:val="0"/>
          <w:bCs w:val="0"/>
          <w:color w:val="000000"/>
          <w:highlight w:val="none"/>
        </w:rPr>
      </w:pPr>
      <w:r>
        <w:rPr>
          <w:rStyle w:val="905"/>
          <w:rFonts w:hint="eastAsia" w:ascii="宋体" w:hAnsi="宋体" w:cs="宋体"/>
          <w:b w:val="0"/>
          <w:bCs/>
          <w:color w:val="000000"/>
          <w:szCs w:val="24"/>
          <w:highlight w:val="none"/>
        </w:rPr>
      </w:r>
      <w:r>
        <w:rPr>
          <w:rStyle w:val="905"/>
          <w:rFonts w:hint="eastAsia" w:ascii="宋体" w:hAnsi="宋体" w:cs="宋体"/>
          <w:b w:val="0"/>
          <w:bCs/>
          <w:color w:val="000000"/>
          <w:szCs w:val="24"/>
          <w:highlight w:val="none"/>
        </w:rPr>
      </w:r>
      <w:r/>
    </w:p>
    <w:p>
      <w:pPr>
        <w:pStyle w:val="1123"/>
        <w:jc w:val="center"/>
        <w:spacing w:line="360" w:lineRule="auto"/>
        <w:tabs>
          <w:tab w:val="right" w:pos="8302" w:leader="dot"/>
        </w:tabs>
        <w:rPr>
          <w:rStyle w:val="905"/>
          <w:rFonts w:hint="eastAsia" w:ascii="宋体" w:hAnsi="宋体" w:cs="宋体"/>
          <w:b w:val="0"/>
          <w:bCs w:val="0"/>
          <w:color w:val="000000"/>
          <w:highlight w:val="none"/>
        </w:rPr>
      </w:pPr>
      <w:r>
        <w:rPr>
          <w:rStyle w:val="905"/>
          <w:rFonts w:hint="eastAsia" w:ascii="宋体" w:hAnsi="宋体" w:cs="宋体"/>
          <w:b w:val="0"/>
          <w:bCs/>
          <w:color w:val="000000"/>
          <w:szCs w:val="24"/>
        </w:rPr>
        <w:t xml:space="preserve">第五章  合同及主要条款</w:t>
      </w:r>
      <w:r/>
    </w:p>
    <w:p>
      <w:pPr>
        <w:ind w:firstLine="540"/>
        <w:spacing w:line="360" w:lineRule="auto"/>
        <w:rPr>
          <w:rFonts w:hint="eastAsia" w:ascii="宋体" w:hAnsi="宋体" w:cs="宋体"/>
          <w:bCs/>
          <w:color w:val="000000"/>
          <w:sz w:val="24"/>
        </w:rPr>
      </w:pPr>
      <w:r>
        <w:rPr>
          <w:rFonts w:hint="eastAsia" w:ascii="宋体" w:hAnsi="宋体" w:cs="宋体"/>
          <w:bCs/>
          <w:color w:val="000000"/>
          <w:sz w:val="24"/>
        </w:rPr>
        <w:t xml:space="preserve">甲方：</w:t>
      </w:r>
      <w:r/>
    </w:p>
    <w:p>
      <w:pPr>
        <w:ind w:firstLine="540"/>
        <w:spacing w:line="360" w:lineRule="auto"/>
        <w:rPr>
          <w:rFonts w:hint="eastAsia" w:ascii="宋体" w:hAnsi="宋体" w:cs="宋体"/>
          <w:bCs/>
          <w:color w:val="000000"/>
          <w:sz w:val="24"/>
        </w:rPr>
      </w:pPr>
      <w:r>
        <w:rPr>
          <w:rFonts w:hint="eastAsia" w:ascii="宋体" w:hAnsi="宋体" w:cs="宋体"/>
          <w:bCs/>
          <w:color w:val="000000"/>
          <w:sz w:val="24"/>
        </w:rPr>
        <w:t xml:space="preserve">地址：</w:t>
      </w:r>
      <w:r/>
    </w:p>
    <w:p>
      <w:pPr>
        <w:ind w:firstLine="540"/>
        <w:spacing w:line="360" w:lineRule="auto"/>
        <w:tabs>
          <w:tab w:val="left" w:pos="5625" w:leader="none"/>
        </w:tabs>
        <w:rPr>
          <w:rFonts w:hint="eastAsia" w:ascii="宋体" w:hAnsi="宋体" w:cs="宋体"/>
          <w:bCs/>
          <w:color w:val="000000"/>
          <w:sz w:val="24"/>
        </w:rPr>
      </w:pPr>
      <w:r>
        <w:rPr>
          <w:rFonts w:hint="eastAsia" w:ascii="宋体" w:hAnsi="宋体" w:cs="宋体"/>
          <w:bCs/>
          <w:color w:val="000000"/>
          <w:sz w:val="24"/>
        </w:rPr>
        <w:t xml:space="preserve">联系人：    </w:t>
      </w:r>
      <w:r>
        <w:rPr>
          <w:rFonts w:hint="eastAsia" w:ascii="宋体" w:hAnsi="宋体" w:cs="宋体"/>
          <w:bCs/>
          <w:color w:val="000000"/>
          <w:sz w:val="24"/>
        </w:rPr>
        <w:tab/>
      </w:r>
      <w:r/>
    </w:p>
    <w:p>
      <w:pPr>
        <w:ind w:firstLine="540"/>
        <w:spacing w:line="360" w:lineRule="auto"/>
        <w:rPr>
          <w:rFonts w:hint="eastAsia" w:ascii="宋体" w:hAnsi="宋体" w:cs="宋体"/>
          <w:bCs/>
          <w:color w:val="000000"/>
          <w:sz w:val="24"/>
        </w:rPr>
      </w:pPr>
      <w:r>
        <w:rPr>
          <w:rFonts w:hint="eastAsia" w:ascii="宋体" w:hAnsi="宋体" w:cs="宋体"/>
          <w:bCs/>
          <w:color w:val="000000"/>
          <w:sz w:val="24"/>
        </w:rPr>
        <w:t xml:space="preserve">联系电话：</w:t>
      </w:r>
      <w:r/>
    </w:p>
    <w:p>
      <w:pPr>
        <w:ind w:firstLine="540"/>
        <w:spacing w:line="360" w:lineRule="auto"/>
        <w:rPr>
          <w:rFonts w:hint="eastAsia" w:ascii="宋体" w:hAnsi="宋体" w:cs="宋体"/>
          <w:bCs/>
          <w:color w:val="000000"/>
          <w:sz w:val="24"/>
        </w:rPr>
      </w:pPr>
      <w:r>
        <w:rPr>
          <w:rFonts w:hint="eastAsia" w:ascii="宋体" w:hAnsi="宋体" w:cs="宋体"/>
          <w:bCs/>
          <w:color w:val="000000"/>
          <w:sz w:val="24"/>
        </w:rPr>
      </w:r>
      <w:r/>
    </w:p>
    <w:p>
      <w:pPr>
        <w:ind w:firstLine="540"/>
        <w:spacing w:line="360" w:lineRule="auto"/>
        <w:tabs>
          <w:tab w:val="left" w:pos="5625" w:leader="none"/>
        </w:tabs>
        <w:rPr>
          <w:rFonts w:hint="eastAsia" w:ascii="宋体" w:hAnsi="宋体" w:cs="宋体"/>
          <w:bCs/>
          <w:color w:val="000000"/>
          <w:sz w:val="24"/>
        </w:rPr>
      </w:pPr>
      <w:r>
        <w:rPr>
          <w:rFonts w:hint="eastAsia" w:ascii="宋体" w:hAnsi="宋体" w:cs="宋体"/>
          <w:bCs/>
          <w:color w:val="000000"/>
          <w:sz w:val="24"/>
        </w:rPr>
        <w:t xml:space="preserve">乙方：</w:t>
      </w:r>
      <w:r/>
    </w:p>
    <w:p>
      <w:pPr>
        <w:ind w:firstLine="540"/>
        <w:spacing w:line="360" w:lineRule="auto"/>
        <w:tabs>
          <w:tab w:val="left" w:pos="5625" w:leader="none"/>
        </w:tabs>
        <w:rPr>
          <w:rFonts w:hint="eastAsia" w:ascii="宋体" w:hAnsi="宋体" w:cs="宋体"/>
          <w:bCs/>
          <w:color w:val="000000"/>
          <w:sz w:val="24"/>
        </w:rPr>
      </w:pPr>
      <w:r>
        <w:rPr>
          <w:rFonts w:hint="eastAsia" w:ascii="宋体" w:hAnsi="宋体" w:cs="宋体"/>
          <w:bCs/>
          <w:color w:val="000000"/>
          <w:sz w:val="24"/>
        </w:rPr>
        <w:t xml:space="preserve">地址：</w:t>
      </w:r>
      <w:r/>
    </w:p>
    <w:p>
      <w:pPr>
        <w:ind w:firstLine="540"/>
        <w:spacing w:line="360" w:lineRule="auto"/>
        <w:tabs>
          <w:tab w:val="left" w:pos="5625" w:leader="none"/>
        </w:tabs>
        <w:rPr>
          <w:rFonts w:hint="eastAsia" w:ascii="宋体" w:hAnsi="宋体" w:cs="宋体"/>
          <w:bCs/>
          <w:color w:val="000000"/>
          <w:sz w:val="24"/>
        </w:rPr>
      </w:pPr>
      <w:r>
        <w:rPr>
          <w:rFonts w:hint="eastAsia" w:ascii="宋体" w:hAnsi="宋体" w:cs="宋体"/>
          <w:bCs/>
          <w:color w:val="000000"/>
          <w:sz w:val="24"/>
        </w:rPr>
        <w:t xml:space="preserve">联系人：    </w:t>
      </w:r>
      <w:r/>
    </w:p>
    <w:p>
      <w:pPr>
        <w:ind w:firstLine="540"/>
        <w:spacing w:line="360" w:lineRule="auto"/>
        <w:tabs>
          <w:tab w:val="left" w:pos="5625" w:leader="none"/>
        </w:tabs>
        <w:rPr>
          <w:rFonts w:hint="eastAsia" w:ascii="宋体" w:hAnsi="宋体" w:cs="宋体"/>
          <w:bCs/>
          <w:color w:val="000000"/>
          <w:sz w:val="24"/>
        </w:rPr>
      </w:pPr>
      <w:r>
        <w:rPr>
          <w:rFonts w:hint="eastAsia" w:ascii="宋体" w:hAnsi="宋体" w:cs="宋体"/>
          <w:bCs/>
          <w:color w:val="000000"/>
          <w:sz w:val="24"/>
        </w:rPr>
        <w:t xml:space="preserve">联系电话：</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ind w:firstLine="420"/>
        <w:spacing w:line="360" w:lineRule="auto"/>
        <w:rPr>
          <w:rFonts w:hint="eastAsia" w:ascii="宋体" w:hAnsi="宋体"/>
          <w:sz w:val="24"/>
        </w:rPr>
      </w:pPr>
      <w:r>
        <w:rPr>
          <w:rFonts w:hint="eastAsia" w:ascii="宋体" w:hAnsi="宋体" w:cs="宋体"/>
          <w:bCs/>
          <w:color w:val="000000"/>
          <w:sz w:val="24"/>
        </w:rPr>
        <w:t xml:space="preserve">根据</w:t>
      </w:r>
      <w:r>
        <w:rPr>
          <w:rFonts w:hint="eastAsia" w:ascii="宋体" w:hAnsi="宋体"/>
          <w:sz w:val="24"/>
        </w:rPr>
        <w:t xml:space="preserve">采购编号</w:t>
      </w:r>
      <w:r>
        <w:rPr>
          <w:rFonts w:hint="eastAsia" w:ascii="宋体" w:hAnsi="宋体"/>
          <w:sz w:val="24"/>
          <w:u w:val="single"/>
        </w:rPr>
        <w:t xml:space="preserve">              </w:t>
      </w:r>
      <w:r>
        <w:rPr>
          <w:rFonts w:hint="eastAsia" w:ascii="宋体" w:hAnsi="宋体"/>
          <w:sz w:val="24"/>
        </w:rPr>
        <w:t xml:space="preserve">号政府采购文件及中标单位的投标文件和中标通知书，甲乙双方就此次中标项目的</w:t>
      </w:r>
      <w:r>
        <w:rPr>
          <w:rFonts w:hint="eastAsia" w:ascii="宋体" w:hAnsi="宋体"/>
          <w:sz w:val="24"/>
          <w:u w:val="single"/>
        </w:rPr>
        <w:t xml:space="preserve">      </w:t>
      </w:r>
      <w:r>
        <w:rPr>
          <w:rFonts w:hint="eastAsia" w:ascii="宋体" w:hAnsi="宋体"/>
          <w:sz w:val="24"/>
        </w:rPr>
        <w:t xml:space="preserve"> 服务事宜，签订本合同书。</w:t>
      </w:r>
      <w:r/>
    </w:p>
    <w:p>
      <w:pPr>
        <w:ind w:firstLine="420"/>
        <w:spacing w:line="360" w:lineRule="auto"/>
        <w:rPr>
          <w:rFonts w:hint="eastAsia" w:ascii="宋体" w:hAnsi="宋体"/>
          <w:sz w:val="24"/>
        </w:rPr>
      </w:pPr>
      <w:r>
        <w:rPr>
          <w:rFonts w:hint="eastAsia" w:ascii="宋体" w:hAnsi="宋体"/>
          <w:sz w:val="24"/>
        </w:rPr>
        <w:t xml:space="preserve">一、合同内容</w:t>
      </w:r>
      <w:r/>
    </w:p>
    <w:p>
      <w:pPr>
        <w:ind w:firstLine="420"/>
        <w:spacing w:line="360" w:lineRule="auto"/>
        <w:rPr>
          <w:rFonts w:hint="eastAsia" w:ascii="宋体" w:hAnsi="宋体"/>
          <w:sz w:val="24"/>
        </w:rPr>
      </w:pPr>
      <w:r>
        <w:rPr>
          <w:rFonts w:hint="eastAsia" w:ascii="宋体" w:hAnsi="宋体"/>
          <w:sz w:val="24"/>
        </w:rPr>
        <w:t xml:space="preserve">1、乙方负责的甲方的苏州市姑苏区环古城河范围外道路（主次干道）及其附属设施的巡视、养护维修、应急处置等。</w:t>
      </w:r>
      <w:r/>
    </w:p>
    <w:p>
      <w:pPr>
        <w:ind w:firstLine="420"/>
        <w:spacing w:line="360" w:lineRule="auto"/>
        <w:rPr>
          <w:rFonts w:hint="eastAsia" w:ascii="宋体" w:hAnsi="宋体"/>
          <w:sz w:val="24"/>
        </w:rPr>
      </w:pPr>
      <w:r>
        <w:rPr>
          <w:rFonts w:hint="eastAsia" w:ascii="宋体" w:hAnsi="宋体"/>
          <w:sz w:val="24"/>
        </w:rPr>
        <w:t xml:space="preserve">标段划分以环古城河、西塘河、上塘河为界</w:t>
      </w:r>
      <w:r/>
    </w:p>
    <w:p>
      <w:pPr>
        <w:ind w:firstLine="420"/>
        <w:spacing w:line="360" w:lineRule="auto"/>
        <w:rPr>
          <w:rFonts w:hint="eastAsia" w:ascii="宋体" w:hAnsi="宋体"/>
          <w:sz w:val="24"/>
        </w:rPr>
      </w:pPr>
      <w:r>
        <w:rPr>
          <w:rFonts w:hint="eastAsia" w:ascii="宋体" w:hAnsi="宋体"/>
          <w:sz w:val="24"/>
        </w:rPr>
        <w:t xml:space="preserve">第一标段：苏锦街道及平江街道环古城河以外区域等范围道路（不含干将东路），其中车行道面积约169.12万平方米，人行道面积约41.45万平方米。</w:t>
      </w:r>
      <w:r/>
    </w:p>
    <w:p>
      <w:pPr>
        <w:ind w:firstLine="420"/>
        <w:spacing w:line="360" w:lineRule="auto"/>
        <w:rPr>
          <w:rFonts w:hint="eastAsia" w:ascii="宋体" w:hAnsi="宋体"/>
          <w:sz w:val="24"/>
        </w:rPr>
      </w:pPr>
      <w:r>
        <w:rPr>
          <w:rFonts w:hint="eastAsia" w:ascii="宋体" w:hAnsi="宋体"/>
          <w:sz w:val="24"/>
        </w:rPr>
        <w:t xml:space="preserve">第二标段：白洋湾街道、虎丘街道环古城河以外区域等范围道路，其中北环西路东至广济路口（含路口），其中车行道面积约160.87万平方米，人行道面积约37.47万平方米。</w:t>
      </w:r>
      <w:r/>
    </w:p>
    <w:p>
      <w:pPr>
        <w:ind w:firstLine="420"/>
        <w:spacing w:line="360" w:lineRule="auto"/>
        <w:rPr>
          <w:rFonts w:hint="eastAsia" w:ascii="宋体" w:hAnsi="宋体"/>
          <w:sz w:val="24"/>
        </w:rPr>
      </w:pPr>
      <w:r>
        <w:rPr>
          <w:rFonts w:hint="eastAsia" w:ascii="宋体" w:hAnsi="宋体"/>
          <w:sz w:val="24"/>
        </w:rPr>
        <w:t xml:space="preserve">第三标段：吴门桥街道、双塔街道、沧浪街道、金阊街道环古城河以外区域等范围道路（含干将东路及沿线路口），其中车行道面积约193.72万平方米，人行道面积约54.12万平方米。</w:t>
      </w:r>
      <w:r/>
    </w:p>
    <w:p>
      <w:pPr>
        <w:ind w:firstLine="420"/>
        <w:spacing w:line="360" w:lineRule="auto"/>
        <w:rPr>
          <w:rFonts w:hint="eastAsia" w:ascii="宋体" w:hAnsi="宋体"/>
          <w:sz w:val="24"/>
        </w:rPr>
      </w:pPr>
      <w:r>
        <w:rPr>
          <w:rFonts w:hint="eastAsia" w:ascii="宋体" w:hAnsi="宋体"/>
          <w:sz w:val="24"/>
        </w:rPr>
        <w:t xml:space="preserve">2、服务期限：    年    月    日至</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日。（具体合同履行时间以甲方通知进场为准）</w:t>
      </w:r>
      <w:r/>
    </w:p>
    <w:p>
      <w:pPr>
        <w:ind w:firstLine="420"/>
        <w:spacing w:line="360" w:lineRule="auto"/>
        <w:rPr>
          <w:rFonts w:hint="eastAsia" w:ascii="宋体" w:hAnsi="宋体"/>
          <w:sz w:val="24"/>
        </w:rPr>
      </w:pPr>
      <w:r>
        <w:rPr>
          <w:rFonts w:hint="eastAsia" w:ascii="宋体" w:hAnsi="宋体"/>
          <w:sz w:val="24"/>
        </w:rPr>
        <w:t xml:space="preserve">二、合同价格与支付</w:t>
      </w:r>
      <w:r/>
    </w:p>
    <w:p>
      <w:pPr>
        <w:ind w:firstLine="420"/>
        <w:spacing w:line="360" w:lineRule="auto"/>
        <w:rPr>
          <w:rFonts w:hint="eastAsia" w:ascii="宋体" w:hAnsi="宋体"/>
          <w:sz w:val="24"/>
        </w:rPr>
      </w:pPr>
      <w:r>
        <w:rPr>
          <w:rFonts w:hint="eastAsia" w:ascii="宋体" w:hAnsi="宋体"/>
          <w:sz w:val="24"/>
        </w:rPr>
        <w:t xml:space="preserve">1、合同价格按此次中标价格执行，合同总金额为人民币 大写    小写：（￥    ），包括苏州市姑苏区环古城河范围外道路（主次干道）及其附属设</w:t>
      </w:r>
      <w:r>
        <w:rPr>
          <w:rFonts w:hint="eastAsia" w:ascii="宋体" w:hAnsi="宋体"/>
          <w:sz w:val="24"/>
        </w:rPr>
        <w:t xml:space="preserve">施的巡视、养护维修、应急处置等。区域划分以环古城河、西塘河、上塘河为界，包括（第一标段：苏锦街道及平江街道环古城河以外区域等范围道路（不含干将东路），其中车行道面积约169.12万平方米，人行道面积约41.45万平方米；</w:t>
      </w:r>
      <w:r/>
    </w:p>
    <w:p>
      <w:pPr>
        <w:ind w:firstLine="420"/>
        <w:spacing w:line="360" w:lineRule="auto"/>
        <w:rPr>
          <w:rFonts w:hint="eastAsia" w:ascii="宋体" w:hAnsi="宋体"/>
          <w:sz w:val="24"/>
        </w:rPr>
      </w:pPr>
      <w:r>
        <w:rPr>
          <w:rFonts w:hint="eastAsia" w:ascii="宋体" w:hAnsi="宋体"/>
          <w:sz w:val="24"/>
        </w:rPr>
        <w:t xml:space="preserve">第二标段：白洋湾街道、虎丘街道环古城河以外区域等范围道路，其中北环西路东至广济路口（含路口），其中车行道面积约160.87万平方米，人行道面积约37.47万平方米；</w:t>
      </w:r>
      <w:r/>
    </w:p>
    <w:p>
      <w:pPr>
        <w:ind w:firstLine="420"/>
        <w:spacing w:line="360" w:lineRule="auto"/>
        <w:rPr>
          <w:rFonts w:hint="eastAsia" w:ascii="宋体" w:hAnsi="宋体"/>
          <w:sz w:val="24"/>
        </w:rPr>
      </w:pPr>
      <w:r>
        <w:rPr>
          <w:rFonts w:hint="eastAsia" w:ascii="宋体" w:hAnsi="宋体"/>
          <w:sz w:val="24"/>
        </w:rPr>
        <w:t xml:space="preserve">第三标段：吴门桥街道、双塔街道、沧浪街道、金阊街道环古城河以外区域等范围</w:t>
      </w:r>
      <w:r>
        <w:rPr>
          <w:rFonts w:hint="eastAsia" w:ascii="宋体" w:hAnsi="宋体"/>
          <w:sz w:val="24"/>
        </w:rPr>
        <w:t xml:space="preserve">道路（含干将东路及沿线路口），其中车行道面积约193.72万平方米，人行道面积约54.12万平方米）的道路维护服务所列的服务管理内容及技术措施费、安全文明措施费、风险费、材料、机械设备、安装、维护作业范围内的建筑垃圾等杂物的清运费、废料处置费、人工（包括人员劳务费、加班费、福利费、社保等）、作业人员人身意外保险以及在从事该劳动过程中发生的其它费用（含法律法规应缴的费用）、公众责任保险、劳保、维护、代理服务费、利润、税金、政策性文件规定及合同包含的所有风险、责任等各项所有费用，并在服务期限内不受政策因素影响。</w:t>
      </w:r>
      <w:r/>
    </w:p>
    <w:p>
      <w:pPr>
        <w:ind w:firstLine="420"/>
        <w:spacing w:line="360" w:lineRule="auto"/>
        <w:rPr>
          <w:rFonts w:hint="eastAsia" w:ascii="宋体" w:hAnsi="宋体"/>
          <w:sz w:val="24"/>
        </w:rPr>
      </w:pPr>
      <w:r>
        <w:rPr>
          <w:rFonts w:hint="eastAsia" w:ascii="宋体" w:hAnsi="宋体"/>
          <w:sz w:val="24"/>
        </w:rPr>
        <w:t xml:space="preserve">2、</w:t>
      </w:r>
      <w:r>
        <w:rPr>
          <w:rFonts w:hint="eastAsia" w:ascii="宋体" w:hAnsi="宋体"/>
          <w:szCs w:val="21"/>
        </w:rPr>
        <w:t xml:space="preserve">甲方向乙方支付合同金额的30%作为项目预付款。在签订合同时，乙方明确表示无需预付款或者主动要求降低预付款比例的，甲方可不适用上述关于预付款的规定。具体实施要求按苏财购【2020】52号文件第一条的相关规定执行。</w:t>
      </w:r>
      <w:r/>
    </w:p>
    <w:p>
      <w:pPr>
        <w:ind w:firstLine="420"/>
        <w:spacing w:line="360" w:lineRule="auto"/>
        <w:rPr>
          <w:rFonts w:hint="eastAsia" w:ascii="宋体" w:hAnsi="宋体"/>
          <w:sz w:val="24"/>
        </w:rPr>
      </w:pPr>
      <w:r>
        <w:rPr>
          <w:rFonts w:hint="eastAsia" w:ascii="宋体" w:hAnsi="宋体"/>
          <w:sz w:val="24"/>
        </w:rPr>
        <w:t xml:space="preserve">3、结算方式：每一季度支付一次，管养费用包含巡视费，维护费，应急管理费。</w:t>
      </w:r>
      <w:r/>
    </w:p>
    <w:p>
      <w:pPr>
        <w:ind w:firstLine="420"/>
        <w:spacing w:line="360" w:lineRule="auto"/>
        <w:rPr>
          <w:rFonts w:hint="eastAsia" w:ascii="宋体" w:hAnsi="宋体"/>
          <w:sz w:val="24"/>
        </w:rPr>
      </w:pPr>
      <w:r>
        <w:rPr>
          <w:rFonts w:hint="eastAsia" w:ascii="宋体" w:hAnsi="宋体"/>
          <w:sz w:val="24"/>
        </w:rPr>
        <w:t xml:space="preserve">3.1巡视费、应急管理费按月固定总价，维护费采取固定单价（见附件），工作量由甲方委托第三方审计的方式进行结算，如有在清单范围外的工作内容，则由甲方委托第三方对单价、工作量一并进行审计。</w:t>
      </w:r>
      <w:r/>
    </w:p>
    <w:p>
      <w:pPr>
        <w:ind w:firstLine="480"/>
        <w:spacing w:line="360" w:lineRule="auto"/>
        <w:rPr>
          <w:rFonts w:hint="eastAsia" w:ascii="宋体" w:hAnsi="宋体" w:cs="宋体"/>
          <w:sz w:val="24"/>
        </w:rPr>
      </w:pPr>
      <w:r>
        <w:rPr>
          <w:rFonts w:hint="eastAsia" w:ascii="宋体" w:hAnsi="宋体"/>
          <w:sz w:val="24"/>
        </w:rPr>
        <w:t xml:space="preserve">3.2管养费用由乙方按月度进行汇总，并形成《结算书》，《结算书》按每3个月（即1个季度）向甲方上报，由甲方委托第三方审计并出具结算审核报告，</w:t>
      </w:r>
      <w:r>
        <w:rPr>
          <w:rFonts w:hint="eastAsia" w:ascii="宋体" w:hAnsi="宋体" w:cs="宋体"/>
          <w:sz w:val="24"/>
        </w:rPr>
        <w:t xml:space="preserve">审核报告上的每月的审定金额即为当月维护服务费用，除固定费用外不再另行支付任何费用。</w:t>
      </w:r>
      <w:r/>
    </w:p>
    <w:p>
      <w:pPr>
        <w:ind w:firstLine="420"/>
        <w:spacing w:line="360" w:lineRule="auto"/>
        <w:rPr>
          <w:rFonts w:hint="eastAsia" w:ascii="宋体" w:hAnsi="宋体"/>
          <w:sz w:val="24"/>
        </w:rPr>
      </w:pPr>
      <w:r>
        <w:rPr>
          <w:rFonts w:hint="eastAsia" w:ascii="宋体" w:hAnsi="宋体"/>
          <w:sz w:val="24"/>
        </w:rPr>
        <w:t xml:space="preserve">3.3管养费用支付金额与考核成绩挂钩：当月考核总得分达到90分（含90分）为达标；则全额支付当月管养服务费用，达不到以上规定达标分数的，每降1分，则扣减当月管养费用1个百分点，以此类推。</w:t>
      </w:r>
      <w:r/>
    </w:p>
    <w:p>
      <w:pPr>
        <w:ind w:firstLine="420"/>
        <w:spacing w:line="360" w:lineRule="auto"/>
        <w:rPr>
          <w:rFonts w:hint="eastAsia" w:ascii="宋体" w:hAnsi="宋体"/>
          <w:sz w:val="24"/>
        </w:rPr>
      </w:pPr>
      <w:r>
        <w:rPr>
          <w:rFonts w:hint="eastAsia" w:ascii="宋体" w:hAnsi="宋体"/>
          <w:sz w:val="24"/>
        </w:rPr>
        <w:t xml:space="preserve">3.4如当月管养费用审计核减率超过7%，则超过7%部分按核减管养费用4%计算的审核费用由乙方承担，乙方需凭审核费用支付凭证向甲方申请管养费用。</w:t>
      </w:r>
      <w:r/>
    </w:p>
    <w:p>
      <w:pPr>
        <w:ind w:firstLine="420"/>
        <w:spacing w:line="360" w:lineRule="auto"/>
        <w:rPr>
          <w:rFonts w:hint="eastAsia" w:ascii="宋体" w:hAnsi="宋体"/>
          <w:sz w:val="24"/>
        </w:rPr>
      </w:pPr>
      <w:r>
        <w:rPr>
          <w:rFonts w:hint="eastAsia" w:ascii="宋体" w:hAnsi="宋体"/>
          <w:sz w:val="24"/>
        </w:rPr>
        <w:t xml:space="preserve">3.5如当月存在检测结果不合格的，相应检测费用在月度管养费用中扣除。</w:t>
      </w:r>
      <w:r/>
    </w:p>
    <w:p>
      <w:pPr>
        <w:ind w:firstLine="420"/>
        <w:spacing w:line="360" w:lineRule="auto"/>
        <w:rPr>
          <w:rFonts w:hint="eastAsia" w:ascii="宋体" w:hAnsi="宋体"/>
          <w:sz w:val="24"/>
        </w:rPr>
      </w:pPr>
      <w:r>
        <w:rPr>
          <w:rFonts w:hint="eastAsia" w:ascii="宋体" w:hAnsi="宋体"/>
          <w:sz w:val="24"/>
        </w:rPr>
        <w:t xml:space="preserve">3.6甲方应当在履约验收合格并完成评审后，由乙方发起付款申请后90天内完成付款。</w:t>
      </w:r>
      <w:r/>
    </w:p>
    <w:p>
      <w:pPr>
        <w:ind w:firstLine="480"/>
        <w:spacing w:line="360" w:lineRule="auto"/>
        <w:rPr>
          <w:rFonts w:hint="eastAsia" w:ascii="宋体" w:hAnsi="宋体"/>
          <w:sz w:val="24"/>
        </w:rPr>
      </w:pPr>
      <w:r>
        <w:rPr>
          <w:rFonts w:hint="eastAsia" w:ascii="宋体" w:hAnsi="宋体"/>
          <w:sz w:val="24"/>
        </w:rPr>
        <w:t xml:space="preserve">4、累计2次月度考核低于80分的；巡视、监控工作不力，新闻媒体曝光及群众投拆经查属实且有责三次以上（含三次）；突发事件（如灾害性天气）或重大活动期间，无故不执行指令性任务或未按相关要求、标准完成任务，达二次以上（含二次）；未经甲方同意，出现其他重大违规现象的，甲方可立即终止合同。</w:t>
      </w:r>
      <w:r/>
    </w:p>
    <w:p>
      <w:pPr>
        <w:ind w:firstLine="420"/>
        <w:spacing w:line="360" w:lineRule="auto"/>
        <w:rPr>
          <w:rFonts w:hint="eastAsia" w:ascii="宋体" w:hAnsi="宋体"/>
          <w:sz w:val="24"/>
        </w:rPr>
      </w:pPr>
      <w:r>
        <w:rPr>
          <w:rFonts w:hint="eastAsia" w:ascii="宋体" w:hAnsi="宋体"/>
          <w:sz w:val="24"/>
        </w:rPr>
        <w:t xml:space="preserve">5、支付方式：支付至数字人民币账户</w:t>
      </w:r>
      <w:r/>
    </w:p>
    <w:p>
      <w:pPr>
        <w:ind w:firstLine="420"/>
        <w:spacing w:line="360" w:lineRule="auto"/>
        <w:rPr>
          <w:rFonts w:hint="eastAsia" w:ascii="宋体" w:hAnsi="宋体"/>
          <w:sz w:val="24"/>
        </w:rPr>
      </w:pPr>
      <w:r>
        <w:rPr>
          <w:rFonts w:hint="eastAsia" w:ascii="宋体" w:hAnsi="宋体"/>
          <w:sz w:val="24"/>
        </w:rPr>
        <w:t xml:space="preserve">付款时，乙方需向甲方提供如下内容：</w:t>
      </w:r>
      <w:r/>
    </w:p>
    <w:p>
      <w:pPr>
        <w:ind w:firstLine="420"/>
        <w:spacing w:line="360" w:lineRule="auto"/>
        <w:rPr>
          <w:rFonts w:hint="eastAsia" w:ascii="宋体" w:hAnsi="宋体"/>
          <w:sz w:val="24"/>
        </w:rPr>
      </w:pPr>
      <w:r>
        <w:rPr>
          <w:rFonts w:hint="eastAsia" w:ascii="宋体" w:hAnsi="宋体"/>
          <w:sz w:val="24"/>
        </w:rPr>
        <w:t xml:space="preserve">A、有效的发票；</w:t>
      </w:r>
      <w:r/>
    </w:p>
    <w:p>
      <w:pPr>
        <w:ind w:firstLine="420"/>
        <w:spacing w:line="360" w:lineRule="auto"/>
        <w:rPr>
          <w:rFonts w:hint="eastAsia" w:ascii="宋体" w:hAnsi="宋体"/>
          <w:sz w:val="24"/>
        </w:rPr>
      </w:pPr>
      <w:r>
        <w:rPr>
          <w:rFonts w:hint="eastAsia" w:ascii="宋体" w:hAnsi="宋体"/>
          <w:sz w:val="24"/>
        </w:rPr>
        <w:t xml:space="preserve">B、由甲乙双方签章的《政府采购</w:t>
      </w:r>
      <w:r>
        <w:rPr>
          <w:rFonts w:hint="eastAsia" w:ascii="宋体" w:hAnsi="宋体"/>
          <w:sz w:val="24"/>
        </w:rPr>
        <w:t xml:space="preserve">履约</w:t>
      </w:r>
      <w:r>
        <w:rPr>
          <w:rFonts w:hint="eastAsia" w:ascii="宋体" w:hAnsi="宋体"/>
          <w:sz w:val="24"/>
        </w:rPr>
        <w:t xml:space="preserve">验收书》；</w:t>
      </w:r>
      <w:r/>
    </w:p>
    <w:p>
      <w:pPr>
        <w:ind w:firstLine="420"/>
        <w:spacing w:line="360" w:lineRule="auto"/>
        <w:rPr>
          <w:rFonts w:hint="eastAsia" w:ascii="宋体" w:hAnsi="宋体"/>
          <w:sz w:val="24"/>
        </w:rPr>
      </w:pPr>
      <w:r>
        <w:rPr>
          <w:rFonts w:hint="eastAsia" w:ascii="宋体" w:hAnsi="宋体"/>
          <w:sz w:val="24"/>
        </w:rPr>
        <w:t xml:space="preserve">C、结算审核报告；</w:t>
      </w:r>
      <w:r/>
    </w:p>
    <w:p>
      <w:pPr>
        <w:ind w:firstLine="420"/>
        <w:spacing w:line="360" w:lineRule="auto"/>
        <w:rPr>
          <w:rFonts w:hint="eastAsia" w:ascii="宋体" w:hAnsi="宋体"/>
          <w:sz w:val="24"/>
        </w:rPr>
      </w:pPr>
      <w:r>
        <w:rPr>
          <w:rFonts w:hint="eastAsia" w:ascii="宋体" w:hAnsi="宋体"/>
          <w:sz w:val="24"/>
        </w:rPr>
        <w:t xml:space="preserve">D、考核表。</w:t>
      </w:r>
      <w:r/>
    </w:p>
    <w:p>
      <w:pPr>
        <w:ind w:firstLine="420"/>
        <w:spacing w:line="360" w:lineRule="auto"/>
        <w:rPr>
          <w:rFonts w:hint="eastAsia" w:ascii="宋体" w:hAnsi="宋体"/>
          <w:sz w:val="24"/>
        </w:rPr>
      </w:pPr>
      <w:r>
        <w:rPr>
          <w:rFonts w:hint="eastAsia" w:ascii="宋体" w:hAnsi="宋体"/>
          <w:sz w:val="24"/>
        </w:rPr>
        <w:t xml:space="preserve">三、双方权利与义务</w:t>
      </w:r>
      <w:r/>
    </w:p>
    <w:p>
      <w:pPr>
        <w:ind w:firstLine="422"/>
        <w:spacing w:line="360" w:lineRule="auto"/>
        <w:rPr>
          <w:rFonts w:hint="eastAsia" w:ascii="宋体" w:hAnsi="宋体"/>
          <w:b/>
          <w:bCs/>
          <w:sz w:val="24"/>
        </w:rPr>
      </w:pPr>
      <w:r>
        <w:rPr>
          <w:rFonts w:hint="eastAsia" w:ascii="宋体" w:hAnsi="宋体"/>
          <w:b/>
          <w:bCs/>
          <w:sz w:val="24"/>
        </w:rPr>
        <w:t xml:space="preserve">1、甲方权利与义务：</w:t>
      </w:r>
      <w:r/>
    </w:p>
    <w:p>
      <w:pPr>
        <w:ind w:firstLine="420"/>
        <w:spacing w:line="360" w:lineRule="auto"/>
        <w:rPr>
          <w:rFonts w:hint="eastAsia" w:ascii="宋体" w:hAnsi="宋体"/>
          <w:bCs/>
          <w:sz w:val="24"/>
        </w:rPr>
      </w:pPr>
      <w:r>
        <w:rPr>
          <w:rFonts w:hint="eastAsia" w:ascii="宋体" w:hAnsi="宋体"/>
          <w:bCs/>
          <w:sz w:val="24"/>
        </w:rPr>
        <w:t xml:space="preserve">1.1甲方应按本合同约定按时付给乙方管养费用，不得无故拖欠应付款项，但是，因乙方未按本合同约定提供管养服务，甲方有权拒付当期服务费用，并有权要求乙方按照本合同的规定承担相应的违约责任，此期间乙方应严格履约、不能怠工；</w:t>
      </w:r>
      <w:r/>
    </w:p>
    <w:p>
      <w:pPr>
        <w:ind w:firstLine="480"/>
        <w:spacing w:line="360" w:lineRule="auto"/>
        <w:rPr>
          <w:rFonts w:hint="eastAsia" w:ascii="宋体" w:hAnsi="宋体"/>
          <w:sz w:val="24"/>
        </w:rPr>
      </w:pPr>
      <w:r>
        <w:rPr>
          <w:rFonts w:hint="eastAsia" w:ascii="宋体" w:hAnsi="宋体"/>
          <w:bCs/>
          <w:sz w:val="24"/>
        </w:rPr>
        <w:t xml:space="preserve">1.2</w:t>
      </w:r>
      <w:r>
        <w:rPr>
          <w:rFonts w:hint="eastAsia" w:ascii="宋体" w:hAnsi="宋体"/>
          <w:sz w:val="24"/>
        </w:rPr>
        <w:t xml:space="preserve">甲方应向乙方提供开展维护工作的便利条件，以便乙方能顺利地进行维护保养。有权监督并检查乙方所做工作，共同做好道路日常运行和维护工作。乙方巡视维保记录交双方确认后有效；</w:t>
      </w:r>
      <w:r/>
    </w:p>
    <w:p>
      <w:pPr>
        <w:ind w:firstLine="480"/>
        <w:spacing w:line="360" w:lineRule="auto"/>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sz w:val="24"/>
        </w:rPr>
        <w:t xml:space="preserve">甲方有权对乙方服务进行监督，并对操守不良、违规操作、违反甲方管理规定或工作不称职的乙方工作人员给予警告，并有权要求乙方撤换；</w:t>
      </w:r>
      <w:r/>
    </w:p>
    <w:p>
      <w:pPr>
        <w:ind w:firstLine="420"/>
        <w:spacing w:line="360" w:lineRule="auto"/>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甲方应积极采纳乙方在维护管理方面的合理化建议。</w:t>
      </w:r>
      <w:r/>
    </w:p>
    <w:p>
      <w:pPr>
        <w:ind w:firstLine="422"/>
        <w:spacing w:line="360" w:lineRule="auto"/>
        <w:rPr>
          <w:rFonts w:hint="eastAsia" w:ascii="宋体" w:hAnsi="宋体"/>
          <w:b/>
          <w:bCs/>
          <w:sz w:val="24"/>
        </w:rPr>
      </w:pPr>
      <w:r>
        <w:rPr>
          <w:rFonts w:hint="eastAsia" w:ascii="宋体" w:hAnsi="宋体"/>
          <w:b/>
          <w:bCs/>
          <w:sz w:val="24"/>
        </w:rPr>
        <w:t xml:space="preserve">2、乙方权利与义务：</w:t>
      </w:r>
      <w:r/>
    </w:p>
    <w:p>
      <w:pPr>
        <w:ind w:firstLine="420"/>
        <w:spacing w:line="360" w:lineRule="auto"/>
        <w:rPr>
          <w:rFonts w:hint="eastAsia" w:ascii="宋体" w:hAnsi="宋体"/>
          <w:sz w:val="24"/>
        </w:rPr>
      </w:pPr>
      <w:r>
        <w:rPr>
          <w:rFonts w:hint="eastAsia" w:ascii="宋体" w:hAnsi="宋体"/>
          <w:sz w:val="24"/>
        </w:rPr>
        <w:t xml:space="preserve">2.1乙方在从事市政维护服务工作中应当做到文明工作、安全生产，采取必要的安全防范措施，合同期内，乙方维护工作人员发生的一切安全问题包括由于乙方提供的维护服务导致的安全事故引发的责任，均由乙方自行负责，与甲方无关。</w:t>
      </w:r>
      <w:r/>
    </w:p>
    <w:p>
      <w:pPr>
        <w:ind w:firstLine="420"/>
        <w:spacing w:line="360" w:lineRule="auto"/>
        <w:rPr>
          <w:rFonts w:hint="eastAsia" w:ascii="宋体" w:hAnsi="宋体"/>
          <w:sz w:val="24"/>
        </w:rPr>
      </w:pPr>
      <w:r>
        <w:rPr>
          <w:rFonts w:hint="eastAsia" w:ascii="宋体" w:hAnsi="宋体"/>
          <w:sz w:val="24"/>
        </w:rPr>
        <w:t xml:space="preserve">2.2乙方应当指定专人作为乙方联系人予以协调工作，加强与甲方沟通，交流情况，互通信息。</w:t>
      </w:r>
      <w:r/>
    </w:p>
    <w:p>
      <w:pPr>
        <w:ind w:firstLine="420"/>
        <w:spacing w:line="360" w:lineRule="auto"/>
        <w:rPr>
          <w:rFonts w:hint="eastAsia" w:ascii="宋体" w:hAnsi="宋体"/>
          <w:sz w:val="24"/>
        </w:rPr>
      </w:pPr>
      <w:r>
        <w:rPr>
          <w:rFonts w:hint="eastAsia" w:ascii="宋体" w:hAnsi="宋体"/>
          <w:sz w:val="24"/>
        </w:rPr>
        <w:t xml:space="preserve">2.3乙方所有作业服务人员一经确定不得随意变更，如更换需提前1个月向甲方提出书面申请。如项目组成员不能胜任本项目，则乙方在收到甲方提出的更换要求后，必须在1个月内更换服务人员。</w:t>
      </w:r>
      <w:r/>
    </w:p>
    <w:p>
      <w:pPr>
        <w:ind w:firstLine="420"/>
        <w:spacing w:line="360" w:lineRule="auto"/>
        <w:rPr>
          <w:rFonts w:hint="eastAsia" w:ascii="宋体" w:hAnsi="宋体"/>
          <w:sz w:val="24"/>
        </w:rPr>
      </w:pPr>
      <w:r>
        <w:rPr>
          <w:rFonts w:hint="eastAsia" w:ascii="宋体" w:hAnsi="宋体"/>
          <w:sz w:val="24"/>
        </w:rPr>
        <w:t xml:space="preserve">2.4乙方应经常对员工进行岗位职责和安全教育，加强岗位责任考核。因管理不当、违规操作发生安全事故由乙方自行负责，对甲方造成损失的，乙方需承担相应的赔偿责任。</w:t>
      </w:r>
      <w:r/>
    </w:p>
    <w:p>
      <w:pPr>
        <w:ind w:firstLine="420"/>
        <w:spacing w:line="360" w:lineRule="auto"/>
        <w:rPr>
          <w:rFonts w:hint="eastAsia" w:ascii="宋体" w:hAnsi="宋体"/>
          <w:sz w:val="24"/>
        </w:rPr>
      </w:pPr>
      <w:r>
        <w:rPr>
          <w:rFonts w:hint="eastAsia" w:ascii="宋体" w:hAnsi="宋体"/>
          <w:sz w:val="24"/>
        </w:rPr>
        <w:t xml:space="preserve">2.5合同期间乙方配置的作业人员仍属乙方职工，作业人员的工资、社保及人身意外伤害保险等费用由乙方自理；甲方与乙方配置的作业人员不存在隶属关系，如乙方作业人员发生工伤或意外事故，由乙方负责处理、赔付。如乙方未能及时支付作业人员工资导致的一切后果由乙方承担，与甲方无关。</w:t>
      </w:r>
      <w:r/>
    </w:p>
    <w:p>
      <w:pPr>
        <w:ind w:firstLine="420"/>
        <w:spacing w:line="360" w:lineRule="auto"/>
        <w:rPr>
          <w:rFonts w:hint="eastAsia" w:ascii="宋体" w:hAnsi="宋体"/>
          <w:sz w:val="24"/>
        </w:rPr>
      </w:pPr>
      <w:r>
        <w:rPr>
          <w:rFonts w:hint="eastAsia" w:ascii="宋体" w:hAnsi="宋体"/>
          <w:sz w:val="24"/>
        </w:rPr>
        <w:t xml:space="preserve">2.6乙方在从事市政维护服务工作中应当严格遵守国家、地方人民政府、行政主管部门制定的环保规定，落实扬尘、废气、废水、噪声等污染源控制，因乙方未落实环保要求引起的一切后果都由乙方承担。</w:t>
      </w:r>
      <w:r/>
    </w:p>
    <w:p>
      <w:pPr>
        <w:ind w:firstLine="420"/>
        <w:spacing w:line="360" w:lineRule="auto"/>
        <w:rPr>
          <w:rFonts w:hint="eastAsia" w:ascii="宋体" w:hAnsi="宋体"/>
          <w:sz w:val="24"/>
        </w:rPr>
      </w:pPr>
      <w:r>
        <w:rPr>
          <w:rFonts w:hint="eastAsia" w:ascii="宋体" w:hAnsi="宋体"/>
          <w:sz w:val="24"/>
        </w:rPr>
        <w:t xml:space="preserve">2.7甲方管理项目内的任一设施设备均属项目甲方，在本合同有效期内及之后所有的时间内，乙方及乙方人员应对在服务过程中知悉的甲方项目的任何信息，不得以任何方式使用或许可第三方使用。</w:t>
      </w:r>
      <w:r/>
    </w:p>
    <w:p>
      <w:pPr>
        <w:ind w:firstLine="420"/>
        <w:spacing w:line="360" w:lineRule="auto"/>
        <w:rPr>
          <w:rFonts w:hint="eastAsia" w:ascii="宋体" w:hAnsi="宋体"/>
          <w:sz w:val="24"/>
        </w:rPr>
      </w:pPr>
      <w:r>
        <w:rPr>
          <w:rFonts w:hint="eastAsia" w:ascii="宋体" w:hAnsi="宋体"/>
          <w:sz w:val="24"/>
        </w:rPr>
        <w:t xml:space="preserve">2.8乙方应当在合同签订之日前内完成公众责任险投保工作，保障范围应当覆盖乙方所有管养设施，保障时间应当覆盖合同履约时间，如因乙方未投保而造成的损失赔偿，由乙方承担相应的赔偿责任。</w:t>
      </w:r>
      <w:r/>
    </w:p>
    <w:p>
      <w:pPr>
        <w:ind w:firstLine="420"/>
        <w:spacing w:line="360" w:lineRule="auto"/>
        <w:rPr>
          <w:rFonts w:hint="eastAsia" w:ascii="宋体" w:hAnsi="宋体"/>
          <w:sz w:val="24"/>
        </w:rPr>
      </w:pPr>
      <w:r>
        <w:rPr>
          <w:rFonts w:hint="eastAsia" w:ascii="宋体" w:hAnsi="宋体"/>
          <w:sz w:val="24"/>
        </w:rPr>
        <w:t xml:space="preserve">2.9乙方所配备的车辆设备应具备管养范围内所有道路的通行资格。</w:t>
      </w:r>
      <w:r/>
    </w:p>
    <w:p>
      <w:pPr>
        <w:ind w:firstLine="420"/>
        <w:spacing w:line="360" w:lineRule="auto"/>
        <w:rPr>
          <w:rFonts w:hint="eastAsia" w:ascii="宋体" w:hAnsi="宋体"/>
          <w:sz w:val="24"/>
        </w:rPr>
      </w:pPr>
      <w:r>
        <w:rPr>
          <w:rFonts w:hint="eastAsia" w:ascii="宋体" w:hAnsi="宋体"/>
          <w:sz w:val="24"/>
        </w:rPr>
        <w:t xml:space="preserve">2.10乙方应当定期出具管养服务工作报告，管养服务报告应当包含此次管养期间的巡视、维修、应急管理等工作内容，并对所管养设施存在的问题进行汇报，同时要求有负责人签名。</w:t>
      </w:r>
      <w:r/>
    </w:p>
    <w:p>
      <w:pPr>
        <w:ind w:firstLine="420"/>
        <w:spacing w:line="360" w:lineRule="auto"/>
        <w:rPr>
          <w:rFonts w:hint="eastAsia" w:ascii="宋体" w:hAnsi="宋体"/>
          <w:sz w:val="24"/>
        </w:rPr>
      </w:pPr>
      <w:r>
        <w:rPr>
          <w:rFonts w:hint="eastAsia" w:ascii="宋体" w:hAnsi="宋体"/>
          <w:sz w:val="24"/>
        </w:rPr>
        <w:t xml:space="preserve">2.11乙方应建立项目内应急预案，并在合同期内按甲方要求组织应急演练，做好相关记录。</w:t>
      </w:r>
      <w:r/>
    </w:p>
    <w:p>
      <w:pPr>
        <w:ind w:firstLine="420"/>
        <w:spacing w:line="360" w:lineRule="auto"/>
        <w:rPr>
          <w:rFonts w:hint="eastAsia" w:ascii="宋体" w:hAnsi="宋体"/>
          <w:sz w:val="24"/>
        </w:rPr>
      </w:pPr>
      <w:r>
        <w:rPr>
          <w:rFonts w:hint="eastAsia" w:ascii="宋体" w:hAnsi="宋体"/>
          <w:sz w:val="24"/>
        </w:rPr>
        <w:t xml:space="preserve">2.12本合同因解除或履行期届满的，乙方应在合同终止之日起十日内，将相关管养资料等交还给甲方，并与新的服务单位办理好交接手续，如实告知相关情况。</w:t>
      </w:r>
      <w:r/>
    </w:p>
    <w:p>
      <w:pPr>
        <w:ind w:firstLine="420"/>
        <w:spacing w:line="360" w:lineRule="auto"/>
        <w:rPr>
          <w:rFonts w:hint="eastAsia" w:ascii="宋体" w:hAnsi="宋体"/>
          <w:sz w:val="24"/>
        </w:rPr>
      </w:pPr>
      <w:r>
        <w:rPr>
          <w:rFonts w:hint="eastAsia" w:ascii="宋体" w:hAnsi="宋体"/>
          <w:sz w:val="24"/>
        </w:rPr>
        <w:t xml:space="preserve">四、违约</w:t>
      </w:r>
      <w:r/>
    </w:p>
    <w:p>
      <w:pPr>
        <w:ind w:firstLine="480"/>
        <w:spacing w:line="360" w:lineRule="auto"/>
        <w:rPr>
          <w:rFonts w:hint="eastAsia" w:ascii="宋体" w:hAnsi="宋体"/>
          <w:sz w:val="24"/>
        </w:rPr>
      </w:pPr>
      <w:r>
        <w:rPr>
          <w:rFonts w:hint="eastAsia" w:ascii="宋体" w:hAnsi="宋体"/>
          <w:sz w:val="24"/>
        </w:rPr>
        <w:t xml:space="preserve">1.合同一方不履行合同义务或者履行合同义务不符合约定的，应当承担继续履行、采取补救措施或者赔偿损失等违约责任。</w:t>
      </w:r>
      <w:r/>
    </w:p>
    <w:p>
      <w:pPr>
        <w:ind w:firstLine="480"/>
        <w:spacing w:line="360" w:lineRule="auto"/>
        <w:rPr>
          <w:rFonts w:hint="eastAsia" w:ascii="宋体" w:hAnsi="宋体"/>
          <w:sz w:val="24"/>
        </w:rPr>
      </w:pPr>
      <w:r>
        <w:rPr>
          <w:rFonts w:hint="eastAsia" w:ascii="宋体" w:hAnsi="宋体"/>
          <w:sz w:val="24"/>
        </w:rPr>
        <w:t xml:space="preserve">2.甲方违约责任</w:t>
      </w:r>
      <w:r/>
    </w:p>
    <w:p>
      <w:pPr>
        <w:ind w:firstLine="480"/>
        <w:spacing w:line="360" w:lineRule="auto"/>
        <w:rPr>
          <w:rFonts w:hint="eastAsia" w:ascii="宋体" w:hAnsi="宋体"/>
          <w:sz w:val="24"/>
        </w:rPr>
      </w:pPr>
      <w:r>
        <w:rPr>
          <w:rFonts w:hint="eastAsia" w:ascii="宋体" w:hAnsi="宋体"/>
          <w:sz w:val="24"/>
        </w:rPr>
        <w:t xml:space="preserve">甲方违反合同规定，拒绝接收乙方交付的合格标的物，应视为甲方违约，应弥补对乙方造成的合理损失。</w:t>
      </w:r>
      <w:r/>
    </w:p>
    <w:p>
      <w:pPr>
        <w:ind w:firstLine="480"/>
        <w:spacing w:line="360" w:lineRule="auto"/>
        <w:rPr>
          <w:rFonts w:hint="eastAsia" w:ascii="宋体" w:hAnsi="宋体"/>
          <w:sz w:val="24"/>
        </w:rPr>
      </w:pPr>
      <w:r>
        <w:rPr>
          <w:rFonts w:hint="eastAsia" w:ascii="宋体" w:hAnsi="宋体"/>
          <w:sz w:val="24"/>
        </w:rPr>
        <w:t xml:space="preserve">3.乙方违约责任</w:t>
      </w:r>
      <w:r/>
    </w:p>
    <w:p>
      <w:pPr>
        <w:ind w:firstLine="420"/>
        <w:spacing w:line="360" w:lineRule="auto"/>
        <w:rPr>
          <w:rFonts w:hint="eastAsia" w:ascii="宋体" w:hAnsi="宋体"/>
          <w:sz w:val="24"/>
        </w:rPr>
      </w:pPr>
      <w:r>
        <w:rPr>
          <w:rFonts w:hint="eastAsia" w:ascii="宋体" w:hAnsi="宋体"/>
          <w:sz w:val="24"/>
        </w:rPr>
        <w:t xml:space="preserve">（1）乙方不能按期完成维护，或未达到甲方要求从而影响设施正常使用的，甲方有权解除合同。乙方应向甲方偿付合同总价款20%的违约金，违约金不足以补偿损失的甲方有权要求乙方补足。 </w:t>
      </w:r>
      <w:r/>
    </w:p>
    <w:p>
      <w:pPr>
        <w:ind w:firstLine="420"/>
        <w:spacing w:line="360" w:lineRule="auto"/>
        <w:rPr>
          <w:rFonts w:hint="eastAsia" w:ascii="宋体" w:hAnsi="宋体"/>
          <w:sz w:val="24"/>
        </w:rPr>
      </w:pPr>
      <w:r>
        <w:rPr>
          <w:rFonts w:hint="eastAsia" w:ascii="宋体" w:hAnsi="宋体"/>
          <w:sz w:val="24"/>
        </w:rPr>
        <w:t xml:space="preserve">（2）合同期间，若乙方不能提供维护服务的，或维护服务不合格从而影响甲方按期正常使用的，应向甲方偿付合同总价款20%的违约金，违约金不足以补偿损失的甲方有权要求乙方补足。</w:t>
      </w:r>
      <w:r/>
    </w:p>
    <w:p>
      <w:pPr>
        <w:ind w:firstLine="420"/>
        <w:spacing w:line="360" w:lineRule="auto"/>
        <w:rPr>
          <w:rFonts w:hint="eastAsia" w:ascii="宋体" w:hAnsi="宋体"/>
          <w:sz w:val="24"/>
        </w:rPr>
      </w:pPr>
      <w:r>
        <w:rPr>
          <w:rFonts w:hint="eastAsia" w:ascii="宋体" w:hAnsi="宋体"/>
          <w:sz w:val="24"/>
        </w:rPr>
        <w:t xml:space="preserve">（3）乙方出现违约违规情况的，甲方有权单方解除本合同,且不承担违约和赔偿责任。造成甲方损失的，乙方应负赔偿责任。赔偿款甲方有权从乙方应得的价款中直接扣除，不足部分甲方有权向乙方追索。</w:t>
      </w:r>
      <w:r/>
    </w:p>
    <w:p>
      <w:pPr>
        <w:ind w:firstLine="420"/>
        <w:spacing w:line="360" w:lineRule="auto"/>
        <w:rPr>
          <w:rFonts w:hint="eastAsia" w:ascii="宋体" w:hAnsi="宋体"/>
          <w:sz w:val="24"/>
        </w:rPr>
      </w:pPr>
      <w:r>
        <w:rPr>
          <w:rFonts w:hint="eastAsia" w:ascii="宋体" w:hAnsi="宋体"/>
          <w:sz w:val="24"/>
        </w:rPr>
        <w:t xml:space="preserve">乙方同意，甲方有权直接在应付合同价款中直接扣除上述乙方应承担的违约金。</w:t>
      </w:r>
      <w:r/>
    </w:p>
    <w:p>
      <w:pPr>
        <w:ind w:firstLine="420"/>
        <w:spacing w:line="360" w:lineRule="auto"/>
        <w:rPr>
          <w:rFonts w:hint="eastAsia" w:ascii="宋体" w:hAnsi="宋体"/>
          <w:sz w:val="24"/>
        </w:rPr>
      </w:pPr>
      <w:r>
        <w:rPr>
          <w:rFonts w:hint="eastAsia" w:ascii="宋体" w:hAnsi="宋体"/>
          <w:sz w:val="24"/>
        </w:rPr>
        <w:t xml:space="preserve">4、因乙方违约或乙方追究甲方违约但不成立，导致甲方为处理此纠纷支出的费用由乙方承担，该费用包括但不限于诉讼费、保全费、鉴定费、执行费、律师费、差旅费等。</w:t>
      </w:r>
      <w:r/>
    </w:p>
    <w:p>
      <w:pPr>
        <w:ind w:firstLine="420"/>
        <w:spacing w:line="360" w:lineRule="auto"/>
        <w:rPr>
          <w:rFonts w:hint="eastAsia" w:ascii="宋体" w:hAnsi="宋体"/>
          <w:sz w:val="24"/>
        </w:rPr>
      </w:pPr>
      <w:r>
        <w:rPr>
          <w:rFonts w:hint="eastAsia" w:ascii="宋体" w:hAnsi="宋体"/>
          <w:sz w:val="24"/>
        </w:rPr>
        <w:t xml:space="preserve">五、争议解决</w:t>
      </w:r>
      <w:r/>
    </w:p>
    <w:p>
      <w:pPr>
        <w:ind w:firstLine="420"/>
        <w:spacing w:line="360" w:lineRule="auto"/>
        <w:rPr>
          <w:rFonts w:hint="eastAsia" w:ascii="宋体" w:hAnsi="宋体"/>
          <w:sz w:val="24"/>
        </w:rPr>
      </w:pPr>
      <w:r>
        <w:rPr>
          <w:rFonts w:hint="eastAsia" w:ascii="宋体" w:hAnsi="宋体"/>
          <w:sz w:val="24"/>
        </w:rPr>
        <w:t xml:space="preserve">甲乙双方如有争议，应友好协商解决，协商不成，则提交甲方所在地人民法院诉讼。</w:t>
      </w:r>
      <w:r/>
    </w:p>
    <w:p>
      <w:pPr>
        <w:ind w:firstLine="420"/>
        <w:spacing w:line="360" w:lineRule="auto"/>
        <w:rPr>
          <w:rFonts w:hint="eastAsia" w:ascii="宋体" w:hAnsi="宋体"/>
          <w:sz w:val="24"/>
        </w:rPr>
      </w:pPr>
      <w:r>
        <w:rPr>
          <w:rFonts w:hint="eastAsia" w:ascii="宋体" w:hAnsi="宋体"/>
          <w:sz w:val="24"/>
        </w:rPr>
        <w:t xml:space="preserve">六、如有未尽事宜，双方可另行商定并签订补充协议作为合同附件，与本合同具有同等法律效力。</w:t>
      </w:r>
      <w:r/>
    </w:p>
    <w:p>
      <w:pPr>
        <w:ind w:firstLine="420"/>
        <w:spacing w:line="360" w:lineRule="auto"/>
        <w:rPr>
          <w:rFonts w:hint="eastAsia" w:ascii="宋体" w:hAnsi="宋体"/>
          <w:sz w:val="24"/>
        </w:rPr>
      </w:pPr>
      <w:r>
        <w:rPr>
          <w:rFonts w:hint="eastAsia" w:ascii="宋体" w:hAnsi="宋体"/>
          <w:sz w:val="24"/>
        </w:rPr>
        <w:t xml:space="preserve">七、本合同经甲乙双方代表签字并加盖公章（或合同章），即生效，合同须上网公示。</w:t>
      </w:r>
      <w:r/>
    </w:p>
    <w:p>
      <w:pPr>
        <w:ind w:firstLine="420"/>
        <w:spacing w:line="360" w:lineRule="auto"/>
        <w:rPr>
          <w:rFonts w:hint="eastAsia" w:ascii="宋体" w:hAnsi="宋体"/>
          <w:sz w:val="24"/>
        </w:rPr>
      </w:pPr>
      <w:r>
        <w:rPr>
          <w:rFonts w:hint="eastAsia" w:ascii="宋体" w:hAnsi="宋体"/>
          <w:sz w:val="24"/>
        </w:rPr>
        <w:t xml:space="preserve">八、附则</w:t>
      </w:r>
      <w:r/>
    </w:p>
    <w:p>
      <w:pPr>
        <w:ind w:firstLine="420"/>
        <w:spacing w:line="360" w:lineRule="auto"/>
        <w:rPr>
          <w:rFonts w:hint="eastAsia" w:ascii="宋体" w:hAnsi="宋体"/>
          <w:sz w:val="24"/>
        </w:rPr>
      </w:pPr>
      <w:r>
        <w:rPr>
          <w:rFonts w:hint="eastAsia" w:ascii="宋体" w:hAnsi="宋体"/>
          <w:sz w:val="24"/>
        </w:rPr>
        <w:t xml:space="preserve">1、合同份数</w:t>
      </w:r>
      <w:r/>
    </w:p>
    <w:p>
      <w:pPr>
        <w:ind w:firstLine="420"/>
        <w:spacing w:line="360" w:lineRule="auto"/>
        <w:rPr>
          <w:rFonts w:hint="eastAsia" w:ascii="宋体" w:hAnsi="宋体"/>
          <w:sz w:val="24"/>
        </w:rPr>
      </w:pPr>
      <w:r>
        <w:rPr>
          <w:rFonts w:hint="eastAsia" w:ascii="宋体" w:hAnsi="宋体"/>
          <w:sz w:val="24"/>
        </w:rPr>
        <w:t xml:space="preserve">本合同一式五份，甲执二份、乙方执二份、招标代理机构一份。</w:t>
      </w:r>
      <w:r/>
    </w:p>
    <w:p>
      <w:pPr>
        <w:ind w:firstLine="420"/>
        <w:spacing w:line="360" w:lineRule="auto"/>
        <w:rPr>
          <w:rFonts w:hint="eastAsia" w:ascii="宋体" w:hAnsi="宋体"/>
          <w:sz w:val="24"/>
        </w:rPr>
      </w:pPr>
      <w:r>
        <w:rPr>
          <w:rFonts w:hint="eastAsia" w:ascii="宋体" w:hAnsi="宋体"/>
          <w:sz w:val="24"/>
        </w:rPr>
        <w:t xml:space="preserve">2、本合同由以下文件组成</w:t>
      </w:r>
      <w:r/>
    </w:p>
    <w:p>
      <w:pPr>
        <w:ind w:firstLine="420"/>
        <w:spacing w:line="360" w:lineRule="auto"/>
        <w:rPr>
          <w:rFonts w:hint="eastAsia" w:ascii="宋体" w:hAnsi="宋体"/>
          <w:sz w:val="24"/>
        </w:rPr>
      </w:pPr>
      <w:r>
        <w:rPr>
          <w:rFonts w:hint="eastAsia" w:ascii="宋体" w:hAnsi="宋体"/>
          <w:sz w:val="24"/>
        </w:rPr>
        <w:t xml:space="preserve">2.1本合同书； </w:t>
      </w:r>
      <w:r/>
    </w:p>
    <w:p>
      <w:pPr>
        <w:ind w:firstLine="420"/>
        <w:spacing w:line="360" w:lineRule="auto"/>
        <w:rPr>
          <w:rFonts w:hint="eastAsia" w:ascii="宋体" w:hAnsi="宋体"/>
          <w:sz w:val="24"/>
        </w:rPr>
      </w:pPr>
      <w:r>
        <w:rPr>
          <w:rFonts w:hint="eastAsia" w:ascii="宋体" w:hAnsi="宋体"/>
          <w:sz w:val="24"/>
        </w:rPr>
        <w:t xml:space="preserve">2.2合同书签署后各方以书面形式确认的补充协议、会议纪要等；</w:t>
      </w:r>
      <w:r/>
    </w:p>
    <w:p>
      <w:pPr>
        <w:ind w:firstLine="420"/>
        <w:spacing w:line="360" w:lineRule="auto"/>
        <w:rPr>
          <w:rFonts w:hint="eastAsia" w:ascii="宋体" w:hAnsi="宋体"/>
          <w:sz w:val="24"/>
        </w:rPr>
      </w:pPr>
      <w:r>
        <w:rPr>
          <w:rFonts w:hint="eastAsia" w:ascii="宋体" w:hAnsi="宋体"/>
          <w:sz w:val="24"/>
        </w:rPr>
        <w:t xml:space="preserve">2.3招标文件；</w:t>
      </w:r>
      <w:r/>
    </w:p>
    <w:p>
      <w:pPr>
        <w:ind w:firstLine="420"/>
        <w:spacing w:line="360" w:lineRule="auto"/>
        <w:rPr>
          <w:rFonts w:hint="eastAsia" w:ascii="宋体" w:hAnsi="宋体"/>
          <w:sz w:val="24"/>
        </w:rPr>
      </w:pPr>
      <w:r>
        <w:rPr>
          <w:rFonts w:hint="eastAsia" w:ascii="宋体" w:hAnsi="宋体"/>
          <w:sz w:val="24"/>
        </w:rPr>
        <w:t xml:space="preserve">2.4中标通知书；</w:t>
      </w:r>
      <w:r/>
    </w:p>
    <w:p>
      <w:pPr>
        <w:ind w:firstLine="420"/>
        <w:spacing w:line="360" w:lineRule="auto"/>
        <w:rPr>
          <w:rFonts w:hint="eastAsia" w:ascii="宋体" w:hAnsi="宋体"/>
          <w:sz w:val="24"/>
        </w:rPr>
      </w:pPr>
      <w:r>
        <w:rPr>
          <w:rFonts w:hint="eastAsia" w:ascii="宋体" w:hAnsi="宋体"/>
          <w:sz w:val="24"/>
        </w:rPr>
        <w:t xml:space="preserve">2.5乙方在招投标过程中所作的其他承诺、声明、书面澄清等；</w:t>
      </w:r>
      <w:r/>
    </w:p>
    <w:p>
      <w:pPr>
        <w:ind w:firstLine="420"/>
        <w:spacing w:line="360" w:lineRule="auto"/>
        <w:rPr>
          <w:rFonts w:hint="eastAsia" w:ascii="宋体" w:hAnsi="宋体"/>
          <w:sz w:val="24"/>
        </w:rPr>
      </w:pPr>
      <w:r>
        <w:rPr>
          <w:rFonts w:hint="eastAsia" w:ascii="宋体" w:hAnsi="宋体"/>
          <w:sz w:val="24"/>
        </w:rPr>
        <w:t xml:space="preserve">2.6乙方中标的投标文件；</w:t>
      </w:r>
      <w:r/>
    </w:p>
    <w:p>
      <w:pPr>
        <w:ind w:firstLine="420"/>
        <w:spacing w:line="360" w:lineRule="auto"/>
        <w:rPr>
          <w:rFonts w:hint="eastAsia" w:ascii="宋体" w:hAnsi="宋体"/>
          <w:sz w:val="24"/>
        </w:rPr>
      </w:pPr>
      <w:r>
        <w:rPr>
          <w:rFonts w:hint="eastAsia" w:ascii="宋体" w:hAnsi="宋体"/>
          <w:sz w:val="24"/>
        </w:rPr>
        <w:t xml:space="preserve">2.7其他合同技术附件。</w:t>
      </w:r>
      <w:r/>
    </w:p>
    <w:p>
      <w:pPr>
        <w:ind w:firstLine="420"/>
        <w:spacing w:line="360" w:lineRule="auto"/>
        <w:rPr>
          <w:rFonts w:hint="eastAsia" w:ascii="宋体" w:hAnsi="宋体"/>
          <w:sz w:val="24"/>
        </w:rPr>
      </w:pPr>
      <w:r>
        <w:rPr>
          <w:rFonts w:hint="eastAsia" w:ascii="宋体" w:hAnsi="宋体"/>
          <w:sz w:val="24"/>
        </w:rPr>
        <w:t xml:space="preserve">上述文件之间有冲突的，以排列序位在前的文件为准，同一序位的文件以形成时间在后的为准。</w:t>
      </w:r>
      <w:r/>
    </w:p>
    <w:p>
      <w:pPr>
        <w:ind w:firstLine="420"/>
        <w:spacing w:line="360" w:lineRule="auto"/>
        <w:rPr>
          <w:rFonts w:hint="eastAsia" w:ascii="宋体" w:hAnsi="宋体"/>
          <w:sz w:val="24"/>
        </w:rPr>
      </w:pPr>
      <w:r>
        <w:rPr>
          <w:rFonts w:hint="eastAsia" w:ascii="宋体" w:hAnsi="宋体"/>
          <w:sz w:val="24"/>
        </w:rPr>
        <w:t xml:space="preserve">3、未尽事宜</w:t>
      </w:r>
      <w:r/>
    </w:p>
    <w:p>
      <w:pPr>
        <w:ind w:firstLine="420"/>
        <w:spacing w:line="360" w:lineRule="auto"/>
        <w:rPr>
          <w:rFonts w:hint="eastAsia" w:ascii="宋体" w:hAnsi="宋体"/>
          <w:sz w:val="24"/>
        </w:rPr>
      </w:pPr>
      <w:r>
        <w:rPr>
          <w:rFonts w:hint="eastAsia" w:ascii="宋体" w:hAnsi="宋体"/>
          <w:sz w:val="24"/>
        </w:rPr>
        <w:t xml:space="preserve">本合同未尽事宜应按《中华人民共和国民法典》以及其同相关法律、法规之规定解释。</w:t>
      </w:r>
      <w:r/>
    </w:p>
    <w:p>
      <w:pPr>
        <w:ind w:firstLine="480"/>
        <w:spacing w:line="360" w:lineRule="auto"/>
        <w:rPr>
          <w:rFonts w:hint="eastAsia" w:ascii="宋体" w:hAnsi="宋体" w:cs="宋体"/>
          <w:bCs/>
          <w:color w:val="000000"/>
          <w:sz w:val="24"/>
        </w:rPr>
      </w:pPr>
      <w:r>
        <w:rPr>
          <w:rFonts w:hint="eastAsia" w:ascii="宋体" w:hAnsi="宋体" w:cs="宋体"/>
          <w:sz w:val="24"/>
          <w:lang w:bidi="ar"/>
        </w:rPr>
        <w:t xml:space="preserve">（以下无正文）</w:t>
      </w:r>
      <w:r/>
    </w:p>
    <w:tbl>
      <w:tblPr>
        <w:tblW w:w="8550" w:type="dxa"/>
        <w:jc w:val="center"/>
        <w:tblLayout w:type="fixed"/>
        <w:tblLook w:val="04A0" w:firstRow="1" w:lastRow="0" w:firstColumn="1" w:lastColumn="0" w:noHBand="0" w:noVBand="1"/>
      </w:tblPr>
      <w:tblGrid>
        <w:gridCol w:w="4945"/>
        <w:gridCol w:w="3605"/>
      </w:tblGrid>
      <w:tr>
        <w:trPr>
          <w:jc w:val="center"/>
        </w:trPr>
        <w:tc>
          <w:tcPr>
            <w:tcW w:w="4945"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甲方（盖章）：</w:t>
            </w:r>
            <w:r/>
          </w:p>
        </w:tc>
        <w:tc>
          <w:tcPr>
            <w:tcW w:w="3605"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乙方（盖章）：</w:t>
            </w:r>
            <w:r/>
          </w:p>
        </w:tc>
      </w:tr>
      <w:tr>
        <w:trPr>
          <w:jc w:val="center"/>
        </w:trPr>
        <w:tc>
          <w:tcPr>
            <w:tcW w:w="4945"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法定（授权）代表人（签字）：                  </w:t>
            </w:r>
            <w:r/>
          </w:p>
        </w:tc>
        <w:tc>
          <w:tcPr>
            <w:tcW w:w="3605"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法定（授权）代表人（签字）：</w:t>
            </w:r>
            <w:r/>
          </w:p>
        </w:tc>
      </w:tr>
      <w:tr>
        <w:trPr>
          <w:jc w:val="center"/>
          <w:trHeight w:val="490"/>
        </w:trPr>
        <w:tc>
          <w:tcPr>
            <w:tcW w:w="4945"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日期：</w:t>
            </w:r>
            <w:r/>
          </w:p>
        </w:tc>
        <w:tc>
          <w:tcPr>
            <w:tcW w:w="3605" w:type="dxa"/>
            <w:vAlign w:val="center"/>
            <w:textDirection w:val="lrTb"/>
            <w:noWrap w:val="false"/>
          </w:tcPr>
          <w:p>
            <w:pPr>
              <w:spacing w:line="360" w:lineRule="auto"/>
              <w:rPr>
                <w:rFonts w:hint="eastAsia" w:ascii="宋体" w:hAnsi="宋体" w:cs="宋体"/>
                <w:bCs/>
                <w:color w:val="000000"/>
                <w:sz w:val="24"/>
              </w:rPr>
            </w:pPr>
            <w:r>
              <w:rPr>
                <w:rFonts w:hint="eastAsia" w:ascii="宋体" w:hAnsi="宋体" w:cs="宋体"/>
                <w:bCs/>
                <w:color w:val="000000"/>
                <w:sz w:val="24"/>
              </w:rPr>
              <w:t xml:space="preserve">日期：</w:t>
            </w:r>
            <w:r/>
          </w:p>
        </w:tc>
      </w:tr>
    </w:tbl>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pStyle w:val="1283"/>
        <w:ind w:left="0" w:firstLine="0"/>
        <w:rPr>
          <w:rFonts w:hint="eastAsia"/>
        </w:rPr>
      </w:pPr>
      <w:r>
        <w:rPr>
          <w:rFonts w:hint="eastAsia"/>
        </w:rPr>
        <w:t xml:space="preserve">附件1：</w:t>
      </w:r>
      <w:r/>
    </w:p>
    <w:p>
      <w:pPr>
        <w:ind w:right="115"/>
        <w:jc w:val="center"/>
        <w:tabs>
          <w:tab w:val="left" w:pos="1286" w:leader="none"/>
        </w:tabs>
        <w:rPr>
          <w:rFonts w:hint="eastAsia" w:ascii="宋体" w:hAnsi="宋体"/>
          <w:b/>
          <w:bCs/>
          <w:szCs w:val="21"/>
        </w:rPr>
      </w:pPr>
      <w:r>
        <w:rPr>
          <w:rFonts w:hint="eastAsia" w:ascii="宋体" w:hAnsi="宋体"/>
          <w:b/>
          <w:bCs/>
          <w:szCs w:val="21"/>
        </w:rPr>
        <w:t xml:space="preserve">道路维护项目考核表</w:t>
      </w:r>
      <w:r/>
    </w:p>
    <w:p>
      <w:pPr>
        <w:ind w:right="115"/>
        <w:tabs>
          <w:tab w:val="left" w:pos="1286" w:leader="none"/>
        </w:tabs>
        <w:rPr>
          <w:rFonts w:hint="eastAsia" w:ascii="仿宋" w:hAnsi="仿宋" w:eastAsia="仿宋"/>
          <w:b/>
          <w:bCs/>
          <w:szCs w:val="21"/>
        </w:rPr>
      </w:pPr>
      <w:r>
        <w:rPr>
          <w:rFonts w:hint="eastAsia" w:ascii="仿宋" w:hAnsi="仿宋" w:eastAsia="仿宋"/>
          <w:b/>
          <w:bCs/>
          <w:szCs w:val="21"/>
        </w:rPr>
        <w:t xml:space="preserve">项目名称：</w:t>
      </w:r>
      <w:r/>
    </w:p>
    <w:p>
      <w:pPr>
        <w:ind w:right="115"/>
        <w:tabs>
          <w:tab w:val="left" w:pos="1286" w:leader="none"/>
        </w:tabs>
        <w:rPr>
          <w:rFonts w:hint="eastAsia" w:ascii="仿宋" w:hAnsi="仿宋" w:eastAsia="仿宋"/>
          <w:b/>
          <w:bCs/>
          <w:szCs w:val="21"/>
        </w:rPr>
      </w:pPr>
      <w:r>
        <w:rPr>
          <w:rFonts w:hint="eastAsia" w:ascii="仿宋" w:hAnsi="仿宋" w:eastAsia="仿宋"/>
          <w:b/>
          <w:bCs/>
          <w:szCs w:val="21"/>
        </w:rPr>
        <w:t xml:space="preserve">被考核单位：</w:t>
      </w:r>
      <w:r/>
    </w:p>
    <w:p>
      <w:pPr>
        <w:ind w:right="115"/>
        <w:tabs>
          <w:tab w:val="left" w:pos="1286" w:leader="none"/>
        </w:tabs>
        <w:rPr>
          <w:rFonts w:ascii="仿宋_GB2312" w:eastAsia="仿宋_GB2312"/>
          <w:b/>
          <w:bCs/>
          <w:szCs w:val="21"/>
        </w:rPr>
      </w:pPr>
      <w:r>
        <w:rPr>
          <w:rFonts w:hint="eastAsia" w:ascii="仿宋" w:hAnsi="仿宋" w:eastAsia="仿宋"/>
          <w:b/>
          <w:bCs/>
          <w:szCs w:val="21"/>
        </w:rPr>
        <w:t xml:space="preserve">考核日期：      年  月  日</w:t>
      </w:r>
      <w:r/>
    </w:p>
    <w:tbl>
      <w:tblPr>
        <w:tblW w:w="9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6"/>
        <w:gridCol w:w="1276"/>
        <w:gridCol w:w="1701"/>
        <w:gridCol w:w="709"/>
        <w:gridCol w:w="709"/>
        <w:gridCol w:w="3715"/>
        <w:gridCol w:w="1205"/>
      </w:tblGrid>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szCs w:val="21"/>
              </w:rPr>
            </w:pPr>
            <w:r>
              <w:rPr>
                <w:rFonts w:ascii="宋体" w:hAnsi="宋体"/>
                <w:szCs w:val="21"/>
              </w:rPr>
              <w:t xml:space="preserve">考核</w:t>
            </w:r>
            <w:r>
              <w:rPr>
                <w:rFonts w:hint="eastAsia" w:ascii="宋体" w:hAnsi="宋体"/>
                <w:szCs w:val="21"/>
              </w:rPr>
              <w:t xml:space="preserve">内容及要求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应</w:t>
            </w:r>
            <w:r>
              <w:rPr>
                <w:rFonts w:hint="eastAsia" w:ascii="宋体" w:hAnsi="宋体"/>
                <w:szCs w:val="21"/>
              </w:rPr>
              <w:t xml:space="preserve">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实得分</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jc w:val="center"/>
              <w:rPr>
                <w:rFonts w:hint="eastAsia" w:ascii="宋体" w:hAnsi="宋体"/>
                <w:szCs w:val="21"/>
              </w:rPr>
            </w:pPr>
            <w:r>
              <w:rPr>
                <w:rFonts w:hint="eastAsia" w:ascii="宋体" w:hAnsi="宋体"/>
                <w:szCs w:val="21"/>
              </w:rPr>
              <w:t xml:space="preserve">扣分细则</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一</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人员、材料、机械管理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75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按合同及招标文件要求配备项目负责人及项目组人员，特种作业人员持有效证件上岗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未按要求配备项目负责人及项目组人员或擅自更换人员的，一次扣2分；特种作业人员未持有效证件上岗的，一次扣2分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7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1.</w:t>
            </w:r>
            <w:r>
              <w:rPr>
                <w:rFonts w:ascii="宋体" w:hAnsi="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进场材料符合国家或行业标准、规范规定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进场材料不符合国家或行业标准、规范规定，一次扣</w:t>
            </w:r>
            <w:r>
              <w:rPr>
                <w:rFonts w:ascii="宋体" w:hAnsi="宋体"/>
                <w:szCs w:val="21"/>
              </w:rPr>
              <w:t xml:space="preserve">1</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72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1.</w:t>
            </w:r>
            <w:r>
              <w:rPr>
                <w:rFonts w:ascii="宋体" w:hAnsi="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按合同及招标文件要求配置机械设备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未按合同及招标文件要求配置机械设备，扣2分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二</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维护作业管理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ascii="宋体" w:hAnsi="宋体"/>
                <w:szCs w:val="21"/>
              </w:rPr>
              <w:t xml:space="preserve">3</w:t>
            </w:r>
            <w:r>
              <w:rPr>
                <w:rFonts w:hint="eastAsia"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按要求编制周维护计划、月度维护计划；及时上报周维护报表、月度维护报表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未按要求编制和及时上报周维护计划、月度维护计划，一次扣2分，未及时上报维护报表，一次扣2分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根据维护任务单、批准的周维护计划、月度维护计划组织安排维护任务，并按招标文件要求及规范进行自检自查，且有检查记录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未根据维护任务单、批准的周维护计划、月度维护计划组织安排维护任务，扣3分；未按招标文件要求及规范进行自检自查，且未有检查记录，扣2分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日常维护修复及时率符合招标文件要求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日常维护修复及时率不符合招标文件要求，一次扣</w:t>
            </w:r>
            <w:r>
              <w:rPr>
                <w:rFonts w:ascii="宋体" w:hAnsi="宋体"/>
                <w:szCs w:val="21"/>
              </w:rPr>
              <w:t xml:space="preserve">1</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维护过程中，作业人员按要求统一着装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作业人员未按要求统一着装，一次扣0.5分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946"/>
        </w:trPr>
        <w:tc>
          <w:tcPr>
            <w:tcBorders>
              <w:top w:val="single" w:color="auto" w:sz="4" w:space="0"/>
              <w:left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2.5</w:t>
            </w:r>
            <w:r/>
          </w:p>
        </w:tc>
        <w:tc>
          <w:tcPr>
            <w:gridSpan w:val="2"/>
            <w:tcBorders>
              <w:top w:val="single" w:color="auto" w:sz="4" w:space="0"/>
              <w:left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维护作业应该采取降尘措施，避免造成环境污染；作业现场材料堆放整齐有序；作业完成后做到工完场清</w:t>
            </w:r>
            <w:r>
              <w:rPr>
                <w:rFonts w:ascii="宋体" w:hAnsi="宋体"/>
                <w:szCs w:val="21"/>
              </w:rPr>
              <w:t xml:space="preserve"> </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维护作业未采取降尘措施，造成环境污染，一次扣</w:t>
            </w:r>
            <w:r>
              <w:rPr>
                <w:rFonts w:ascii="宋体" w:hAnsi="宋体"/>
                <w:szCs w:val="21"/>
              </w:rPr>
              <w:t xml:space="preserve">1</w:t>
            </w:r>
            <w:r>
              <w:rPr>
                <w:rFonts w:hint="eastAsia" w:ascii="宋体" w:hAnsi="宋体"/>
                <w:szCs w:val="21"/>
              </w:rPr>
              <w:t xml:space="preserve">分；作业现场材料乱堆、乱放污染环境；未做到工完场清，一次扣</w:t>
            </w:r>
            <w:r>
              <w:rPr>
                <w:rFonts w:ascii="宋体" w:hAnsi="宋体"/>
                <w:szCs w:val="21"/>
              </w:rPr>
              <w:t xml:space="preserve">1</w:t>
            </w:r>
            <w:r>
              <w:rPr>
                <w:rFonts w:hint="eastAsia" w:ascii="宋体" w:hAnsi="宋体"/>
                <w:szCs w:val="21"/>
              </w:rPr>
              <w:t xml:space="preserve">分</w:t>
            </w:r>
            <w:r/>
          </w:p>
        </w:tc>
        <w:tc>
          <w:tcPr>
            <w:tcBorders>
              <w:top w:val="single" w:color="auto" w:sz="4" w:space="0"/>
              <w:left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2.6</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新闻媒体曝光或社会投诉事件及时回复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新闻媒体曝光或社会投诉事件回复不及时，一次扣2分，造成严重影响一次扣5分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58"/>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三</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维护质量管理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3.1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维护质量满足招标文件要求，维护合格率100%；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零星维护质量不符合规范或招标文件要求，一次扣1分；专项维护一次性交验合格率未达到100%，一次扣2分。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3.2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工序检测合格率100%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工序检测不符合规范或招标文件要求。一次扣1分。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3.3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日常台账记录及维护项目资料整理归档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台账记录有缺失、维护项目资料整理归档不及时、不完整，一次扣0.5分。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3.4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市政设施完好率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市政设施完好率在合同期内达到良好以上等级及达到优秀以上等级每下降超过1%扣1分。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四</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安全文明管理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建立健全市政道路桥梁维护安全管理组织机构，明确职责分工。制定完善的市政道路桥梁维护安全管理制度、操作规程</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建立组织架构，明确职责分工。各岗位缺失或不明确一个扣1分。或者执行岗位职责明显不到位一次扣1分。建立组织架构及各类制度，缺少一个扣1分。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定期开展市政道路桥梁维护安全教育培训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根据各标段特点每季度开展安全教育培训，缺少一次扣1分。各专项维护项目开工前组织专项技术交底，缺少一次扣2分。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按照规范要求对市政道路桥梁进行日常</w:t>
            </w:r>
            <w:r>
              <w:rPr>
                <w:rFonts w:hint="eastAsia" w:ascii="宋体" w:hAnsi="宋体"/>
                <w:szCs w:val="21"/>
              </w:rPr>
              <w:t xml:space="preserve">维护（含市政设施维护项目现场安全、文明、环保等措施是否到位以及渣土处置是否合规）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现场安全、文明、环保、渣土运输等措施不到位1次扣2分。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建立健全市政道路桥梁安全</w:t>
            </w:r>
            <w:r>
              <w:rPr>
                <w:rFonts w:hint="eastAsia" w:ascii="宋体" w:hAnsi="宋体"/>
                <w:szCs w:val="21"/>
              </w:rPr>
              <w:t xml:space="preserve">检查及</w:t>
            </w:r>
            <w:r>
              <w:rPr>
                <w:rFonts w:ascii="宋体" w:hAnsi="宋体"/>
                <w:szCs w:val="21"/>
              </w:rPr>
              <w:t xml:space="preserve">隐患排查治理机制。定期开展市政道路桥梁安全隐患排查，建立隐患台账</w:t>
            </w:r>
            <w:r>
              <w:rPr>
                <w:rFonts w:hint="eastAsia" w:ascii="宋体" w:hAnsi="宋体"/>
                <w:szCs w:val="21"/>
              </w:rPr>
              <w:t xml:space="preserve">。</w:t>
            </w:r>
            <w:r>
              <w:rPr>
                <w:rFonts w:ascii="宋体" w:hAnsi="宋体"/>
                <w:szCs w:val="21"/>
              </w:rPr>
              <w:t xml:space="preserve">制定整改方案，落实整改措施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每年开展道路桥梁隐患排查不少于6次，未定期</w:t>
            </w:r>
            <w:r>
              <w:rPr>
                <w:rFonts w:ascii="宋体" w:hAnsi="宋体"/>
                <w:szCs w:val="21"/>
              </w:rPr>
              <w:t xml:space="preserve">开展市政道路桥梁安全隐患排查</w:t>
            </w:r>
            <w:r>
              <w:rPr>
                <w:rFonts w:hint="eastAsia" w:ascii="宋体" w:hAnsi="宋体"/>
                <w:szCs w:val="21"/>
              </w:rPr>
              <w:t xml:space="preserve">或者隐患台账缺失一次扣1分；隐患整改不到位一次扣2分。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ascii="宋体" w:hAnsi="宋体"/>
                <w:szCs w:val="21"/>
              </w:rPr>
              <w:t xml:space="preserve">制定完善</w:t>
            </w:r>
            <w:r>
              <w:rPr>
                <w:rFonts w:hint="eastAsia" w:ascii="宋体" w:hAnsi="宋体"/>
                <w:szCs w:val="21"/>
              </w:rPr>
              <w:t xml:space="preserve">各类</w:t>
            </w:r>
            <w:r>
              <w:rPr>
                <w:rFonts w:ascii="宋体" w:hAnsi="宋体"/>
                <w:szCs w:val="21"/>
              </w:rPr>
              <w:t xml:space="preserve">市政道路桥梁突发事件应急预案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未建立预案或预案明显不合理、不全面扣1分。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做好应急人员、物资</w:t>
            </w:r>
            <w:r>
              <w:rPr>
                <w:rFonts w:ascii="宋体" w:hAnsi="宋体"/>
                <w:szCs w:val="21"/>
              </w:rPr>
              <w:t xml:space="preserve">和设备</w:t>
            </w:r>
            <w:r>
              <w:rPr>
                <w:rFonts w:hint="eastAsia" w:ascii="宋体" w:hAnsi="宋体"/>
                <w:szCs w:val="21"/>
              </w:rPr>
              <w:t xml:space="preserve">的管理，根据实际情况开展应急处置，</w:t>
            </w:r>
            <w:r>
              <w:rPr>
                <w:rFonts w:ascii="宋体" w:hAnsi="宋体"/>
                <w:szCs w:val="21"/>
              </w:rPr>
              <w:t xml:space="preserve">定期组织开展市政道路桥梁突发事件应急演练</w:t>
            </w:r>
            <w:r>
              <w:rPr>
                <w:rFonts w:hint="eastAsia" w:ascii="宋体" w:hAnsi="宋体"/>
                <w:szCs w:val="21"/>
              </w:rPr>
              <w:t xml:space="preserve">。配合各级管理部门处置各类应急工作。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按要求配备并管理好应急人员、物资和设备。管理不到位一次扣1分。每年根据应急预案开展不少于一次应急演练。未组织应急演练扣2分。按照各级管理部门要求开展应急处置，配合不到位、处置不积极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认真执行省、市、区各级安全主管部门下发的相关文件</w:t>
            </w: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未执行各级安全主管部门相关文件精神或执行不到位扣1分。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4.</w:t>
            </w:r>
            <w:r>
              <w:rPr>
                <w:rFonts w:ascii="宋体" w:hAnsi="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管养范围内因市政设施损坏应及时维修而避免造成安全事故；维护作业过程中应当做好对作业范围内管线、绿化等设施的保护工作，不损坏其他设施。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管养范围内因市政设施损坏未及时维修而造成安全事故，一次扣2分；维护作业过程中因未做好对作业范围内管线、绿化等设施的保护工作，导致其他设施损坏，一次扣0.</w:t>
            </w:r>
            <w:r>
              <w:rPr>
                <w:rFonts w:ascii="宋体" w:hAnsi="宋体"/>
                <w:szCs w:val="21"/>
              </w:rPr>
              <w:t xml:space="preserve">5</w:t>
            </w:r>
            <w:r>
              <w:rPr>
                <w:rFonts w:hint="eastAsia" w:ascii="宋体" w:hAnsi="宋体"/>
                <w:szCs w:val="21"/>
              </w:rPr>
              <w:t xml:space="preserve">分，未及时恢复造成不良影响的，一次扣</w:t>
            </w:r>
            <w:r>
              <w:rPr>
                <w:rFonts w:ascii="宋体" w:hAnsi="宋体"/>
                <w:szCs w:val="21"/>
              </w:rPr>
              <w:t xml:space="preserve">2</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64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b/>
                <w:szCs w:val="21"/>
              </w:rPr>
            </w:pPr>
            <w:r>
              <w:rPr>
                <w:rFonts w:hint="eastAsia" w:ascii="宋体" w:hAnsi="宋体"/>
                <w:b/>
                <w:szCs w:val="21"/>
              </w:rPr>
              <w:t xml:space="preserve">五</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b/>
                <w:szCs w:val="21"/>
              </w:rPr>
            </w:pPr>
            <w:r>
              <w:rPr>
                <w:rFonts w:hint="eastAsia" w:ascii="宋体" w:hAnsi="宋体"/>
                <w:b/>
                <w:szCs w:val="21"/>
              </w:rPr>
              <w:t xml:space="preserve">巡视检查管理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szCs w:val="21"/>
              </w:rPr>
            </w:pPr>
            <w:r>
              <w:rPr>
                <w:rFonts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按照合同要求配置巡视人员，且定人定岗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未按照合同要求配置巡视人员且未定人定岗，扣</w:t>
            </w:r>
            <w:r>
              <w:rPr>
                <w:rFonts w:ascii="宋体" w:hAnsi="宋体"/>
                <w:szCs w:val="21"/>
              </w:rPr>
              <w:t xml:space="preserve">2</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按要求建立巡视检查及台账管理制度；按要求进行巡视岗前培训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未建立巡视检查及台账管理制度；扣2分；未进行巡视岗前培训，无法提供培训记录，扣1分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巡视人员按要求进行巡视；按要求填写巡视记录，做到真</w:t>
            </w:r>
            <w:r>
              <w:rPr>
                <w:rFonts w:hint="eastAsia" w:ascii="宋体" w:hAnsi="宋体"/>
                <w:szCs w:val="21"/>
              </w:rPr>
              <w:t xml:space="preserve">实、准确、完整； 协助甲方做好相关道路管养系统的信息填报及更新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巡视人员未按要求进行巡视，一次扣0.5分；未按要求填写巡视记录或巡</w:t>
            </w:r>
            <w:r>
              <w:rPr>
                <w:rFonts w:hint="eastAsia" w:ascii="宋体" w:hAnsi="宋体"/>
                <w:szCs w:val="21"/>
              </w:rPr>
              <w:t xml:space="preserve">视记录填写不真实、准确、完整，一次扣0.5分；未协助甲方做好道路管养系统的信息填报及更新的，扣2分，更新不及时一次扣1分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53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巡视人员发现市政设施严重破损或破损设施存在安全隐患、违章占用及挖掘等违反《苏州市市政设施管理条例》，影响道路安全稳定运行的情况，及时上报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巡视人员发现市政设施严重破损存在安全隐患、违章占用及挖掘等违反《苏州市市政设施管理条例》，影响道路安全稳定运行的情况，未及时上报，一次扣2分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60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hint="eastAsia" w:ascii="宋体" w:hAnsi="宋体"/>
                <w:szCs w:val="21"/>
              </w:rPr>
            </w:pPr>
            <w:r>
              <w:rPr>
                <w:rFonts w:hint="eastAsia" w:ascii="宋体" w:hAnsi="宋体"/>
                <w:szCs w:val="21"/>
              </w:rPr>
              <w:t xml:space="preserve">5.5</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szCs w:val="21"/>
              </w:rPr>
            </w:pPr>
            <w:r>
              <w:rPr>
                <w:rFonts w:hint="eastAsia" w:ascii="宋体" w:hAnsi="宋体"/>
                <w:szCs w:val="21"/>
              </w:rPr>
              <w:t xml:space="preserve">巡视人员按规定统一着装；按要求配置巡视车辆且带警示标志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hint="eastAsia" w:ascii="宋体" w:hAnsi="宋体"/>
                <w:szCs w:val="21"/>
              </w:rPr>
            </w:pPr>
            <w:r>
              <w:rPr>
                <w:rFonts w:hint="eastAsia" w:ascii="宋体" w:hAnsi="宋体"/>
                <w:szCs w:val="21"/>
              </w:rPr>
              <w:t xml:space="preserve">巡视人员未按规定统一着装，发现一次扣0.5分；未按按要求配置巡视车辆且带警示标志，扣2分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hint="eastAsia" w:ascii="宋体" w:hAnsi="宋体"/>
                <w:szCs w:val="21"/>
              </w:rPr>
            </w:pPr>
            <w:r>
              <w:rPr>
                <w:rFonts w:hint="eastAsia" w:ascii="宋体" w:hAnsi="宋体"/>
                <w:szCs w:val="21"/>
              </w:rPr>
            </w: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hint="eastAsia" w:ascii="宋体" w:hAnsi="宋体"/>
                <w:szCs w:val="21"/>
              </w:rPr>
            </w:pPr>
            <w:r>
              <w:rPr>
                <w:rFonts w:hint="eastAsia" w:ascii="宋体" w:hAnsi="宋体"/>
                <w:szCs w:val="21"/>
              </w:rPr>
              <w:t xml:space="preserve">总分</w:t>
            </w:r>
            <w:r/>
          </w:p>
        </w:tc>
        <w:tc>
          <w:tcPr>
            <w:gridSpan w:val="5"/>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4002"/>
        </w:trPr>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rPr>
                <w:rFonts w:hint="eastAsia" w:ascii="宋体" w:hAnsi="宋体"/>
                <w:szCs w:val="21"/>
              </w:rPr>
            </w:pPr>
            <w:r>
              <w:rPr>
                <w:rFonts w:hint="eastAsia" w:ascii="宋体" w:hAnsi="宋体"/>
                <w:szCs w:val="21"/>
              </w:rPr>
              <w:t xml:space="preserve">考核人/考核单位：</w:t>
            </w:r>
            <w:r/>
          </w:p>
        </w:tc>
        <w:tc>
          <w:tcPr>
            <w:gridSpan w:val="5"/>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1447"/>
        </w:trPr>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rPr>
                <w:rFonts w:hint="eastAsia" w:ascii="宋体" w:hAnsi="宋体"/>
                <w:szCs w:val="21"/>
              </w:rPr>
            </w:pPr>
            <w:r>
              <w:rPr>
                <w:rFonts w:hint="eastAsia" w:ascii="宋体" w:hAnsi="宋体"/>
                <w:szCs w:val="21"/>
              </w:rPr>
              <w:t xml:space="preserve">被考核人/被考核单位：</w:t>
            </w:r>
            <w:r/>
          </w:p>
        </w:tc>
        <w:tc>
          <w:tcPr>
            <w:gridSpan w:val="5"/>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rPr>
                <w:rFonts w:hint="eastAsia" w:ascii="宋体" w:hAnsi="宋体"/>
                <w:szCs w:val="21"/>
              </w:rPr>
            </w:pPr>
            <w:r>
              <w:rPr>
                <w:rFonts w:hint="eastAsia" w:ascii="宋体" w:hAnsi="宋体"/>
                <w:szCs w:val="21"/>
              </w:rPr>
            </w:r>
            <w:r/>
          </w:p>
        </w:tc>
      </w:tr>
    </w:tbl>
    <w:p>
      <w:pPr>
        <w:spacing w:line="360" w:lineRule="auto"/>
        <w:rPr>
          <w:rFonts w:hint="eastAsia" w:ascii="宋体" w:hAnsi="宋体" w:cs="宋体"/>
          <w:bCs/>
          <w:color w:val="000000"/>
          <w:sz w:val="24"/>
        </w:rPr>
      </w:pPr>
      <w:r>
        <w:rPr>
          <w:rFonts w:hint="eastAsia" w:ascii="宋体" w:hAnsi="宋体" w:cs="宋体"/>
          <w:bCs/>
          <w:color w:val="000000"/>
          <w:sz w:val="24"/>
        </w:rPr>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jc w:val="center"/>
        <w:spacing w:line="360" w:lineRule="auto"/>
        <w:rPr>
          <w:rFonts w:hint="eastAsia" w:ascii="宋体" w:hAnsi="宋体" w:cs="宋体"/>
          <w:color w:val="000000"/>
          <w:sz w:val="24"/>
          <w:szCs w:val="24"/>
        </w:rPr>
      </w:pPr>
      <w:r>
        <w:rPr>
          <w:rStyle w:val="905"/>
          <w:rFonts w:hint="eastAsia" w:ascii="宋体" w:hAnsi="宋体" w:cs="宋体"/>
          <w:b w:val="0"/>
          <w:bCs/>
          <w:color w:val="000000"/>
          <w:sz w:val="24"/>
          <w:highlight w:val="none"/>
        </w:rPr>
      </w:r>
      <w:r>
        <w:rPr>
          <w:rStyle w:val="905"/>
          <w:rFonts w:hint="eastAsia" w:ascii="宋体" w:hAnsi="宋体" w:cs="宋体"/>
          <w:b w:val="0"/>
          <w:bCs/>
          <w:color w:val="000000"/>
          <w:sz w:val="24"/>
          <w:highlight w:val="none"/>
        </w:rPr>
      </w:r>
      <w:r/>
    </w:p>
    <w:p>
      <w:pPr>
        <w:jc w:val="center"/>
        <w:spacing w:line="360" w:lineRule="auto"/>
        <w:rPr>
          <w:rStyle w:val="905"/>
          <w:rFonts w:hint="eastAsia" w:ascii="宋体" w:hAnsi="宋体" w:cs="宋体"/>
          <w:b w:val="0"/>
          <w:bCs w:val="0"/>
          <w:color w:val="000000"/>
          <w:sz w:val="24"/>
          <w:szCs w:val="24"/>
          <w:highlight w:val="none"/>
        </w:rPr>
      </w:pPr>
      <w:r>
        <w:rPr>
          <w:rStyle w:val="905"/>
          <w:rFonts w:hint="eastAsia" w:ascii="宋体" w:hAnsi="宋体" w:cs="宋体"/>
          <w:b w:val="0"/>
          <w:bCs/>
          <w:color w:val="000000"/>
          <w:sz w:val="24"/>
          <w:highlight w:val="none"/>
        </w:rPr>
      </w:r>
      <w:r>
        <w:rPr>
          <w:rStyle w:val="905"/>
          <w:rFonts w:hint="eastAsia" w:ascii="宋体" w:hAnsi="宋体" w:cs="宋体"/>
          <w:b w:val="0"/>
          <w:bCs/>
          <w:color w:val="000000"/>
          <w:sz w:val="24"/>
          <w:highlight w:val="none"/>
        </w:rPr>
      </w:r>
      <w:r/>
    </w:p>
    <w:p>
      <w:pPr>
        <w:jc w:val="center"/>
        <w:spacing w:line="360" w:lineRule="auto"/>
        <w:rPr>
          <w:rStyle w:val="905"/>
          <w:rFonts w:hint="eastAsia" w:ascii="宋体" w:hAnsi="宋体" w:cs="宋体"/>
          <w:b w:val="0"/>
          <w:bCs w:val="0"/>
          <w:color w:val="000000"/>
          <w:sz w:val="24"/>
          <w:szCs w:val="24"/>
          <w:highlight w:val="none"/>
        </w:rPr>
      </w:pPr>
      <w:r>
        <w:rPr>
          <w:rStyle w:val="905"/>
          <w:rFonts w:hint="eastAsia" w:ascii="宋体" w:hAnsi="宋体" w:cs="宋体"/>
          <w:b w:val="0"/>
          <w:bCs/>
          <w:color w:val="000000"/>
          <w:sz w:val="24"/>
          <w:highlight w:val="none"/>
        </w:rPr>
      </w:r>
      <w:r>
        <w:rPr>
          <w:rStyle w:val="905"/>
          <w:rFonts w:hint="eastAsia" w:ascii="宋体" w:hAnsi="宋体" w:cs="宋体"/>
          <w:b w:val="0"/>
          <w:bCs/>
          <w:color w:val="000000"/>
          <w:sz w:val="24"/>
          <w:highlight w:val="none"/>
        </w:rPr>
      </w:r>
      <w:r/>
    </w:p>
    <w:p>
      <w:pPr>
        <w:jc w:val="center"/>
        <w:spacing w:line="360" w:lineRule="auto"/>
        <w:rPr>
          <w:rStyle w:val="905"/>
          <w:rFonts w:hint="eastAsia" w:ascii="宋体" w:hAnsi="宋体" w:cs="宋体"/>
          <w:b w:val="0"/>
          <w:bCs w:val="0"/>
          <w:color w:val="000000"/>
          <w:sz w:val="24"/>
          <w:szCs w:val="24"/>
          <w:highlight w:val="none"/>
        </w:rPr>
      </w:pPr>
      <w:r>
        <w:rPr>
          <w:rStyle w:val="905"/>
          <w:rFonts w:hint="eastAsia" w:ascii="宋体" w:hAnsi="宋体" w:cs="宋体"/>
          <w:b w:val="0"/>
          <w:bCs/>
          <w:color w:val="000000"/>
          <w:sz w:val="24"/>
          <w:highlight w:val="none"/>
        </w:rPr>
      </w:r>
      <w:r>
        <w:rPr>
          <w:rStyle w:val="905"/>
          <w:rFonts w:hint="eastAsia" w:ascii="宋体" w:hAnsi="宋体" w:cs="宋体"/>
          <w:b w:val="0"/>
          <w:bCs/>
          <w:color w:val="000000"/>
          <w:sz w:val="24"/>
          <w:highlight w:val="none"/>
        </w:rPr>
      </w:r>
      <w:r/>
    </w:p>
    <w:p>
      <w:pPr>
        <w:jc w:val="center"/>
        <w:spacing w:line="360" w:lineRule="auto"/>
        <w:rPr>
          <w:rStyle w:val="905"/>
          <w:rFonts w:hint="eastAsia" w:ascii="宋体" w:hAnsi="宋体" w:cs="宋体"/>
          <w:b w:val="0"/>
          <w:bCs w:val="0"/>
          <w:color w:val="000000"/>
          <w:sz w:val="24"/>
          <w:szCs w:val="24"/>
          <w:highlight w:val="none"/>
        </w:rPr>
      </w:pPr>
      <w:r>
        <w:rPr>
          <w:rStyle w:val="905"/>
          <w:rFonts w:hint="eastAsia" w:ascii="宋体" w:hAnsi="宋体" w:cs="宋体"/>
          <w:b w:val="0"/>
          <w:bCs/>
          <w:color w:val="000000"/>
          <w:sz w:val="24"/>
        </w:rPr>
        <w:t xml:space="preserve">第六章  评标办法和评分标准</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一、评标办法：</w:t>
      </w:r>
      <w:r/>
    </w:p>
    <w:p>
      <w:pPr>
        <w:ind w:firstLine="480"/>
        <w:spacing w:line="360" w:lineRule="auto"/>
        <w:rPr>
          <w:rFonts w:hint="eastAsia" w:ascii="宋体" w:hAnsi="宋体"/>
          <w:bCs/>
          <w:sz w:val="24"/>
        </w:rPr>
      </w:pPr>
      <w:r/>
      <w:bookmarkStart w:id="72" w:name="_Hlk211352356"/>
      <w:r>
        <w:rPr>
          <w:rFonts w:hint="eastAsia" w:ascii="宋体" w:hAnsi="宋体"/>
          <w:bCs/>
          <w:sz w:val="24"/>
        </w:rPr>
        <w:t xml:space="preserve">1、本次评标办法采用综合评分法。即在满足招标文件实质性要求的前提下，按照招标文件中规定的评分标准和各项因素进行综合评审，以评标总得分最高的投标人作为中标单位。</w:t>
      </w:r>
      <w:r/>
    </w:p>
    <w:p>
      <w:pPr>
        <w:ind w:firstLine="480"/>
        <w:spacing w:line="360" w:lineRule="auto"/>
        <w:rPr>
          <w:rFonts w:hint="eastAsia" w:ascii="宋体" w:hAnsi="宋体"/>
          <w:bCs/>
          <w:sz w:val="24"/>
        </w:rPr>
      </w:pPr>
      <w:r>
        <w:rPr>
          <w:rFonts w:hint="eastAsia" w:ascii="宋体" w:hAnsi="宋体"/>
          <w:bCs/>
          <w:sz w:val="24"/>
        </w:rPr>
        <w:t xml:space="preserve">2</w:t>
      </w:r>
      <w:r>
        <w:rPr>
          <w:rFonts w:ascii="宋体" w:hAnsi="宋体"/>
          <w:bCs/>
          <w:sz w:val="24"/>
        </w:rPr>
        <w:t xml:space="preserve">、评标委员会各成员独立对每个进入打分程序的有效投标人的标书</w:t>
      </w:r>
      <w:r>
        <w:rPr>
          <w:rFonts w:hint="eastAsia" w:ascii="宋体" w:hAnsi="宋体"/>
          <w:bCs/>
          <w:sz w:val="24"/>
        </w:rPr>
        <w:t xml:space="preserve">的</w:t>
      </w:r>
      <w:r>
        <w:rPr>
          <w:rFonts w:ascii="宋体" w:hAnsi="宋体"/>
          <w:bCs/>
          <w:sz w:val="24"/>
        </w:rPr>
        <w:t xml:space="preserve">技术部分以打分的形式进行评审和评价。</w:t>
      </w:r>
      <w:r/>
    </w:p>
    <w:p>
      <w:pPr>
        <w:ind w:firstLine="480"/>
        <w:spacing w:line="360" w:lineRule="auto"/>
        <w:rPr>
          <w:rFonts w:hint="eastAsia" w:ascii="宋体" w:hAnsi="宋体"/>
          <w:bCs/>
          <w:sz w:val="24"/>
        </w:rPr>
      </w:pPr>
      <w:r>
        <w:rPr>
          <w:rFonts w:hint="eastAsia" w:ascii="宋体" w:hAnsi="宋体"/>
          <w:bCs/>
          <w:sz w:val="24"/>
        </w:rPr>
        <w:t xml:space="preserve">3</w:t>
      </w:r>
      <w:r>
        <w:rPr>
          <w:rFonts w:ascii="宋体" w:hAnsi="宋体"/>
          <w:bCs/>
          <w:sz w:val="24"/>
        </w:rPr>
        <w:t xml:space="preserve">、如出现评标总得分最高的投标人有两个或两个以上的，以投标报价较低者优先作为中标</w:t>
      </w:r>
      <w:r>
        <w:rPr>
          <w:rFonts w:hint="eastAsia" w:ascii="宋体" w:hAnsi="宋体"/>
          <w:bCs/>
          <w:sz w:val="24"/>
        </w:rPr>
        <w:t xml:space="preserve">单位</w:t>
      </w:r>
      <w:r>
        <w:rPr>
          <w:rFonts w:ascii="宋体" w:hAnsi="宋体"/>
          <w:bCs/>
          <w:sz w:val="24"/>
        </w:rPr>
        <w:t xml:space="preserve">，如果投标报价也相同的，则由</w:t>
      </w:r>
      <w:r>
        <w:rPr>
          <w:rFonts w:hint="eastAsia" w:ascii="宋体" w:hAnsi="宋体"/>
          <w:bCs/>
          <w:sz w:val="24"/>
        </w:rPr>
        <w:t xml:space="preserve">代理</w:t>
      </w:r>
      <w:r>
        <w:rPr>
          <w:rFonts w:ascii="宋体" w:hAnsi="宋体"/>
          <w:bCs/>
          <w:sz w:val="24"/>
        </w:rPr>
        <w:t xml:space="preserve">机构组织以抽签方式确定中标</w:t>
      </w:r>
      <w:r>
        <w:rPr>
          <w:rFonts w:hint="eastAsia" w:ascii="宋体" w:hAnsi="宋体"/>
          <w:bCs/>
          <w:sz w:val="24"/>
        </w:rPr>
        <w:t xml:space="preserve">单位</w:t>
      </w:r>
      <w:r>
        <w:rPr>
          <w:rFonts w:ascii="宋体" w:hAnsi="宋体"/>
          <w:bCs/>
          <w:sz w:val="24"/>
        </w:rPr>
        <w:t xml:space="preserve">。</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4、本项目共有3标段。本次开标顺序为一、二、三标段依次开标。</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本项目投标单位只可中其中一个标段，若已中某一标段，则不进入另一标段评审。评审顺序按标段顺序评审。</w:t>
      </w:r>
      <w:bookmarkEnd w:id="72"/>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二、评分标准：</w:t>
      </w:r>
      <w:r/>
    </w:p>
    <w:p>
      <w:pPr>
        <w:ind w:firstLine="480"/>
        <w:spacing w:line="360" w:lineRule="auto"/>
        <w:rPr>
          <w:rFonts w:hint="eastAsia" w:ascii="宋体" w:hAnsi="宋体"/>
          <w:bCs/>
          <w:sz w:val="24"/>
        </w:rPr>
      </w:pPr>
      <w:r>
        <w:rPr>
          <w:rFonts w:hint="eastAsia" w:ascii="宋体" w:hAnsi="宋体"/>
          <w:bCs/>
          <w:sz w:val="24"/>
        </w:rPr>
        <w:t xml:space="preserve">(一)价格分：最高为</w:t>
      </w:r>
      <w:r>
        <w:rPr>
          <w:rFonts w:hint="eastAsia" w:ascii="宋体" w:hAnsi="宋体"/>
          <w:bCs/>
          <w:sz w:val="24"/>
        </w:rPr>
        <w:t xml:space="preserve">15</w:t>
      </w:r>
      <w:r>
        <w:rPr>
          <w:rFonts w:hint="eastAsia" w:ascii="宋体" w:hAnsi="宋体"/>
          <w:bCs/>
          <w:sz w:val="24"/>
        </w:rPr>
        <w:t xml:space="preserve">分。</w:t>
      </w:r>
      <w:r/>
    </w:p>
    <w:p>
      <w:pPr>
        <w:ind w:firstLine="480"/>
        <w:spacing w:line="360" w:lineRule="auto"/>
        <w:rPr>
          <w:rFonts w:hint="eastAsia" w:ascii="宋体" w:hAnsi="宋体"/>
          <w:bCs/>
          <w:sz w:val="24"/>
        </w:rPr>
      </w:pPr>
      <w:r/>
      <w:bookmarkStart w:id="73" w:name="OLE_LINK22"/>
      <w:r>
        <w:rPr>
          <w:rFonts w:hint="eastAsia" w:ascii="宋体" w:hAnsi="宋体"/>
          <w:bCs/>
          <w:sz w:val="24"/>
        </w:rPr>
        <w:t xml:space="preserve">第一步：</w:t>
      </w:r>
      <w:r>
        <w:rPr>
          <w:rFonts w:ascii="宋体" w:hAnsi="宋体"/>
          <w:bCs/>
          <w:sz w:val="24"/>
        </w:rPr>
        <w:t xml:space="preserve">投标</w:t>
      </w:r>
      <w:r>
        <w:rPr>
          <w:rFonts w:hint="eastAsia" w:ascii="宋体" w:hAnsi="宋体"/>
          <w:bCs/>
          <w:sz w:val="24"/>
        </w:rPr>
        <w:t xml:space="preserve">总</w:t>
      </w:r>
      <w:r>
        <w:rPr>
          <w:rFonts w:ascii="宋体" w:hAnsi="宋体"/>
          <w:bCs/>
          <w:sz w:val="24"/>
        </w:rPr>
        <w:t xml:space="preserve">报价低于或等于</w:t>
      </w:r>
      <w:r>
        <w:rPr>
          <w:rFonts w:hint="eastAsia" w:ascii="宋体" w:hAnsi="宋体"/>
          <w:bCs/>
          <w:sz w:val="24"/>
        </w:rPr>
        <w:t xml:space="preserve">预算金额</w:t>
      </w:r>
      <w:r>
        <w:rPr>
          <w:rFonts w:ascii="宋体" w:hAnsi="宋体"/>
          <w:bCs/>
          <w:sz w:val="24"/>
        </w:rPr>
        <w:t xml:space="preserve">的，为有效投标报价。超</w:t>
      </w:r>
      <w:r>
        <w:rPr>
          <w:rFonts w:hint="eastAsia" w:ascii="宋体" w:hAnsi="宋体"/>
          <w:bCs/>
          <w:sz w:val="24"/>
        </w:rPr>
        <w:t xml:space="preserve">采购</w:t>
      </w:r>
      <w:r>
        <w:rPr>
          <w:rFonts w:ascii="宋体" w:hAnsi="宋体"/>
          <w:bCs/>
          <w:sz w:val="24"/>
        </w:rPr>
        <w:t xml:space="preserve">预算的投标报价为无效投标报价。无效投标报价的投标文件不进行评审，也不得</w:t>
      </w:r>
      <w:r>
        <w:rPr>
          <w:rFonts w:hint="eastAsia" w:ascii="宋体" w:hAnsi="宋体"/>
          <w:bCs/>
          <w:sz w:val="24"/>
        </w:rPr>
        <w:t xml:space="preserve">中</w:t>
      </w:r>
      <w:r>
        <w:rPr>
          <w:rFonts w:ascii="宋体" w:hAnsi="宋体"/>
          <w:bCs/>
          <w:sz w:val="24"/>
        </w:rPr>
        <w:t xml:space="preserve">标。</w:t>
      </w:r>
      <w:r/>
    </w:p>
    <w:p>
      <w:pPr>
        <w:ind w:firstLine="480"/>
        <w:spacing w:line="360" w:lineRule="auto"/>
        <w:rPr>
          <w:rFonts w:hint="eastAsia" w:ascii="宋体" w:hAnsi="宋体"/>
          <w:bCs/>
          <w:sz w:val="24"/>
        </w:rPr>
      </w:pPr>
      <w:r>
        <w:rPr>
          <w:rFonts w:hint="eastAsia" w:ascii="宋体" w:hAnsi="宋体"/>
          <w:bCs/>
          <w:sz w:val="24"/>
        </w:rPr>
        <w:t xml:space="preserve">第二步：价格分采用低价优先法计算，即满足招标文件要求且投标价格最低的投标报价为评标基准价，其价格分为满分</w:t>
      </w:r>
      <w:r>
        <w:rPr>
          <w:rFonts w:hint="eastAsia" w:ascii="宋体" w:hAnsi="宋体"/>
          <w:bCs/>
          <w:sz w:val="24"/>
        </w:rPr>
        <w:t xml:space="preserve">15</w:t>
      </w:r>
      <w:r>
        <w:rPr>
          <w:rFonts w:hint="eastAsia" w:ascii="宋体" w:hAnsi="宋体"/>
          <w:bCs/>
          <w:sz w:val="24"/>
        </w:rPr>
        <w:t xml:space="preserve">分。其他投标人的价格分统一按照下列公式计算：</w:t>
      </w:r>
      <w:r/>
    </w:p>
    <w:p>
      <w:pPr>
        <w:ind w:firstLine="480"/>
        <w:spacing w:line="360" w:lineRule="auto"/>
        <w:tabs>
          <w:tab w:val="left" w:pos="630" w:leader="none"/>
        </w:tabs>
        <w:rPr>
          <w:rFonts w:hint="eastAsia" w:ascii="宋体" w:hAnsi="宋体"/>
          <w:bCs/>
          <w:sz w:val="24"/>
        </w:rPr>
      </w:pPr>
      <w:r>
        <w:rPr>
          <w:rFonts w:hint="eastAsia" w:ascii="宋体" w:hAnsi="宋体"/>
          <w:bCs/>
          <w:sz w:val="24"/>
        </w:rPr>
        <w:t xml:space="preserve">投标报价得分=（评标基准价/投标报价）*价格权值*100，小数点后保留两位（价格权值为</w:t>
      </w:r>
      <w:r>
        <w:rPr>
          <w:rFonts w:hint="eastAsia" w:ascii="宋体" w:hAnsi="宋体"/>
          <w:bCs/>
          <w:sz w:val="24"/>
        </w:rPr>
        <w:t xml:space="preserve">15</w:t>
      </w:r>
      <w:r>
        <w:rPr>
          <w:rFonts w:hint="eastAsia" w:ascii="宋体" w:hAnsi="宋体"/>
          <w:bCs/>
          <w:sz w:val="24"/>
        </w:rPr>
        <w:t xml:space="preserve">%）</w:t>
      </w:r>
      <w:r>
        <w:rPr>
          <w:rFonts w:ascii="宋体" w:hAnsi="宋体"/>
          <w:bCs/>
          <w:sz w:val="24"/>
        </w:rPr>
        <w:t xml:space="preserve">。</w:t>
      </w:r>
      <w:bookmarkEnd w:id="73"/>
      <w:r/>
      <w:r/>
    </w:p>
    <w:p>
      <w:pPr>
        <w:ind w:firstLine="240"/>
        <w:spacing w:line="360" w:lineRule="auto"/>
        <w:rPr>
          <w:rFonts w:hint="eastAsia" w:ascii="宋体" w:hAnsi="宋体"/>
          <w:bCs/>
          <w:sz w:val="24"/>
        </w:rPr>
      </w:pPr>
      <w:r>
        <w:rPr>
          <w:rFonts w:hint="eastAsia" w:ascii="宋体" w:hAnsi="宋体"/>
          <w:bCs/>
          <w:sz w:val="24"/>
        </w:rPr>
        <w:t xml:space="preserve">（二）技术分</w:t>
      </w:r>
      <w:r>
        <w:rPr>
          <w:rFonts w:hint="eastAsia" w:ascii="宋体" w:hAnsi="宋体"/>
          <w:bCs/>
          <w:sz w:val="24"/>
        </w:rPr>
        <w:t xml:space="preserve">85</w:t>
      </w:r>
      <w:r>
        <w:rPr>
          <w:rFonts w:ascii="宋体" w:hAnsi="宋体"/>
          <w:bCs/>
          <w:sz w:val="24"/>
        </w:rPr>
        <w:t xml:space="preserve">分</w:t>
      </w:r>
      <w:r>
        <w:rPr>
          <w:rFonts w:hint="eastAsia" w:ascii="宋体" w:hAnsi="宋体"/>
          <w:bCs/>
          <w:sz w:val="24"/>
        </w:rPr>
        <w:t xml:space="preserve">。</w:t>
      </w:r>
      <w:r/>
    </w:p>
    <w:p>
      <w:pPr>
        <w:ind w:firstLine="420"/>
        <w:spacing w:line="360" w:lineRule="auto"/>
        <w:rPr>
          <w:rFonts w:hint="eastAsia" w:ascii="宋体" w:hAnsi="宋体"/>
          <w:sz w:val="24"/>
        </w:rPr>
      </w:pPr>
      <w:r/>
      <w:bookmarkStart w:id="74" w:name="_Hlk211352504"/>
      <w:r>
        <w:rPr>
          <w:rFonts w:hint="eastAsia" w:ascii="宋体" w:hAnsi="宋体"/>
          <w:sz w:val="24"/>
        </w:rPr>
        <w:t xml:space="preserve">1、对本项目的理解和技术建议（包含对招标项目的理解，针对本项目特点提出维护方面的建议；对维护工作的实施方案；为提高本项目的质量和技术水平提出的相关建议）。（11分）</w:t>
      </w:r>
      <w:r/>
    </w:p>
    <w:p>
      <w:pPr>
        <w:ind w:firstLine="420"/>
        <w:spacing w:line="360" w:lineRule="auto"/>
        <w:rPr>
          <w:rFonts w:hint="eastAsia" w:ascii="宋体" w:hAnsi="宋体"/>
          <w:sz w:val="24"/>
        </w:rPr>
      </w:pPr>
      <w:r>
        <w:rPr>
          <w:rFonts w:hint="eastAsia" w:ascii="宋体" w:hAnsi="宋体"/>
          <w:sz w:val="24"/>
        </w:rPr>
        <w:t xml:space="preserve">项目认识清晰、需求与目标明确，技术建议合理的，得11分；</w:t>
      </w:r>
      <w:r/>
    </w:p>
    <w:p>
      <w:pPr>
        <w:ind w:firstLine="420"/>
        <w:spacing w:line="360" w:lineRule="auto"/>
        <w:rPr>
          <w:rFonts w:hint="eastAsia" w:ascii="宋体" w:hAnsi="宋体"/>
          <w:sz w:val="24"/>
        </w:rPr>
      </w:pPr>
      <w:r>
        <w:rPr>
          <w:rFonts w:hint="eastAsia" w:ascii="宋体" w:hAnsi="宋体"/>
          <w:sz w:val="24"/>
        </w:rPr>
        <w:t xml:space="preserve">项目认识符合基本认知、基本了解项目需求与目标的得7分；</w:t>
      </w:r>
      <w:r/>
    </w:p>
    <w:p>
      <w:pPr>
        <w:ind w:firstLine="420"/>
        <w:spacing w:line="360" w:lineRule="auto"/>
        <w:rPr>
          <w:rFonts w:hint="eastAsia" w:ascii="宋体" w:hAnsi="宋体"/>
          <w:sz w:val="24"/>
        </w:rPr>
      </w:pPr>
      <w:r>
        <w:rPr>
          <w:rFonts w:hint="eastAsia" w:ascii="宋体" w:hAnsi="宋体"/>
          <w:sz w:val="24"/>
        </w:rPr>
        <w:t xml:space="preserve">方案认识有欠缺、对项目需求目标理解不全面的，得3分；</w:t>
      </w:r>
      <w:r/>
    </w:p>
    <w:p>
      <w:pPr>
        <w:ind w:firstLine="420"/>
        <w:spacing w:line="360" w:lineRule="auto"/>
        <w:rPr>
          <w:rFonts w:hint="eastAsia" w:ascii="宋体" w:hAnsi="宋体"/>
          <w:sz w:val="24"/>
        </w:rPr>
      </w:pPr>
      <w:r>
        <w:rPr>
          <w:rFonts w:hint="eastAsia" w:ascii="宋体" w:hAnsi="宋体"/>
          <w:sz w:val="24"/>
        </w:rPr>
        <w:t xml:space="preserve">未提供的不得分。</w:t>
      </w:r>
      <w:r/>
    </w:p>
    <w:p>
      <w:pPr>
        <w:ind w:firstLine="420"/>
        <w:spacing w:line="360" w:lineRule="auto"/>
        <w:rPr>
          <w:rFonts w:hint="eastAsia" w:ascii="宋体" w:hAnsi="宋体"/>
          <w:sz w:val="24"/>
        </w:rPr>
      </w:pPr>
      <w:r>
        <w:rPr>
          <w:rFonts w:hint="eastAsia" w:ascii="宋体" w:hAnsi="宋体"/>
          <w:sz w:val="24"/>
        </w:rPr>
        <w:t xml:space="preserve">2、针对本项目提供的市政道路维护服务工作流程和标准（包括项目实施流程、工作实施路线、维护服务内容和工作准则制定等）。(11分）</w:t>
      </w:r>
      <w:r/>
    </w:p>
    <w:p>
      <w:pPr>
        <w:ind w:firstLine="420"/>
        <w:spacing w:line="360" w:lineRule="auto"/>
        <w:rPr>
          <w:rFonts w:hint="eastAsia" w:ascii="宋体" w:hAnsi="宋体"/>
          <w:sz w:val="24"/>
        </w:rPr>
      </w:pPr>
      <w:r>
        <w:rPr>
          <w:rFonts w:hint="eastAsia" w:ascii="宋体" w:hAnsi="宋体"/>
          <w:sz w:val="24"/>
        </w:rPr>
        <w:t xml:space="preserve">整体流程内容全面、科学合理、可行针对性强的，得11分；</w:t>
      </w:r>
      <w:r/>
    </w:p>
    <w:p>
      <w:pPr>
        <w:ind w:firstLine="420"/>
        <w:spacing w:line="360" w:lineRule="auto"/>
        <w:rPr>
          <w:rFonts w:hint="eastAsia" w:ascii="宋体" w:hAnsi="宋体"/>
          <w:sz w:val="24"/>
        </w:rPr>
      </w:pPr>
      <w:r>
        <w:rPr>
          <w:rFonts w:hint="eastAsia" w:ascii="宋体" w:hAnsi="宋体"/>
          <w:sz w:val="24"/>
        </w:rPr>
        <w:t xml:space="preserve">整体流程基本涵盖，基本符合项目实际需求的，得7分；</w:t>
      </w:r>
      <w:r/>
    </w:p>
    <w:p>
      <w:pPr>
        <w:ind w:firstLine="420"/>
        <w:spacing w:line="360" w:lineRule="auto"/>
        <w:rPr>
          <w:rFonts w:hint="eastAsia" w:ascii="宋体" w:hAnsi="宋体"/>
          <w:sz w:val="24"/>
        </w:rPr>
      </w:pPr>
      <w:r>
        <w:rPr>
          <w:rFonts w:hint="eastAsia" w:ascii="宋体" w:hAnsi="宋体"/>
          <w:sz w:val="24"/>
        </w:rPr>
        <w:t xml:space="preserve">整体流程有确实且与项目实施内容有偏差的，得3分；</w:t>
      </w:r>
      <w:r/>
    </w:p>
    <w:p>
      <w:pPr>
        <w:ind w:firstLine="420"/>
        <w:spacing w:line="360" w:lineRule="auto"/>
        <w:rPr>
          <w:rFonts w:hint="eastAsia" w:ascii="宋体" w:hAnsi="宋体"/>
          <w:sz w:val="24"/>
        </w:rPr>
      </w:pPr>
      <w:r/>
      <w:bookmarkStart w:id="75" w:name="OLE_LINK50"/>
      <w:r>
        <w:rPr>
          <w:rFonts w:hint="eastAsia" w:ascii="宋体" w:hAnsi="宋体"/>
          <w:sz w:val="24"/>
        </w:rPr>
        <w:t xml:space="preserve">未提供的不得分。</w:t>
      </w:r>
      <w:bookmarkEnd w:id="75"/>
      <w:r/>
      <w:r/>
    </w:p>
    <w:p>
      <w:pPr>
        <w:ind w:firstLine="420"/>
        <w:spacing w:line="360" w:lineRule="auto"/>
        <w:rPr>
          <w:rFonts w:hint="eastAsia" w:ascii="宋体" w:hAnsi="宋体"/>
          <w:sz w:val="24"/>
        </w:rPr>
      </w:pPr>
      <w:r>
        <w:rPr>
          <w:rFonts w:hint="eastAsia" w:ascii="宋体" w:hAnsi="宋体"/>
          <w:sz w:val="24"/>
        </w:rPr>
        <w:t xml:space="preserve">3、针对本项目的维护作业区域划分安排方案（包括针对维护作业区域划分安排、对应区域配备的维护工作人员和作业设备的配置安排等情况）。（11分）</w:t>
      </w:r>
      <w:r/>
    </w:p>
    <w:p>
      <w:pPr>
        <w:ind w:firstLine="420"/>
        <w:spacing w:line="360" w:lineRule="auto"/>
        <w:rPr>
          <w:rFonts w:hint="eastAsia" w:ascii="宋体" w:hAnsi="宋体"/>
          <w:sz w:val="24"/>
        </w:rPr>
      </w:pPr>
      <w:r>
        <w:rPr>
          <w:rFonts w:hint="eastAsia" w:ascii="宋体" w:hAnsi="宋体"/>
          <w:sz w:val="24"/>
        </w:rPr>
        <w:t xml:space="preserve">针对本项目片区管理分工，人员配备的科学性、合理性、数量和响应时间方案内容完整的，得11分；</w:t>
      </w:r>
      <w:r/>
    </w:p>
    <w:p>
      <w:pPr>
        <w:ind w:firstLine="420"/>
        <w:spacing w:line="360" w:lineRule="auto"/>
        <w:rPr>
          <w:rFonts w:hint="eastAsia" w:ascii="宋体" w:hAnsi="宋体"/>
          <w:sz w:val="24"/>
        </w:rPr>
      </w:pPr>
      <w:r>
        <w:rPr>
          <w:rFonts w:hint="eastAsia" w:ascii="宋体" w:hAnsi="宋体"/>
          <w:sz w:val="24"/>
        </w:rPr>
        <w:t xml:space="preserve">针对本项目片区管理分工，人员配备的科学性、合理性、数量和响应时间方案内容合理性和可实施性一般的，得7分；</w:t>
      </w:r>
      <w:r/>
    </w:p>
    <w:p>
      <w:pPr>
        <w:ind w:firstLine="420"/>
        <w:spacing w:line="360" w:lineRule="auto"/>
        <w:rPr>
          <w:rFonts w:hint="eastAsia" w:ascii="宋体" w:hAnsi="宋体"/>
          <w:sz w:val="24"/>
        </w:rPr>
      </w:pPr>
      <w:r>
        <w:rPr>
          <w:rFonts w:hint="eastAsia" w:ascii="宋体" w:hAnsi="宋体"/>
          <w:sz w:val="24"/>
        </w:rPr>
        <w:t xml:space="preserve">针对本项目片区管理分工，人员配备的科学性、合理性、数量和响应时间方案内容欠缺不合理的，得3分；</w:t>
      </w:r>
      <w:r/>
    </w:p>
    <w:p>
      <w:pPr>
        <w:ind w:firstLine="420"/>
        <w:spacing w:line="360" w:lineRule="auto"/>
        <w:rPr>
          <w:rFonts w:hint="eastAsia" w:ascii="宋体" w:hAnsi="宋体"/>
          <w:sz w:val="24"/>
        </w:rPr>
      </w:pPr>
      <w:r>
        <w:rPr>
          <w:rFonts w:hint="eastAsia" w:ascii="宋体" w:hAnsi="宋体"/>
          <w:sz w:val="24"/>
        </w:rPr>
        <w:t xml:space="preserve">未提供的不得分。 </w:t>
      </w:r>
      <w:r/>
    </w:p>
    <w:p>
      <w:pPr>
        <w:ind w:firstLine="420"/>
        <w:spacing w:line="360" w:lineRule="auto"/>
        <w:rPr>
          <w:rFonts w:hint="eastAsia" w:ascii="宋体" w:hAnsi="宋体"/>
          <w:sz w:val="24"/>
        </w:rPr>
      </w:pPr>
      <w:r>
        <w:rPr>
          <w:rFonts w:hint="eastAsia" w:ascii="宋体" w:hAnsi="宋体"/>
          <w:sz w:val="24"/>
        </w:rPr>
        <w:t xml:space="preserve">4、针对本项目服务内容的紧急抢险、临时突发各类可能出现的情况分析（包括对项目实施过程中可能产生的突发情况和紧急事态的处理方案和应急预案等）。（10分）</w:t>
      </w:r>
      <w:r/>
    </w:p>
    <w:p>
      <w:pPr>
        <w:ind w:firstLine="420"/>
        <w:spacing w:line="360" w:lineRule="auto"/>
        <w:rPr>
          <w:rFonts w:hint="eastAsia" w:ascii="宋体" w:hAnsi="宋体"/>
          <w:sz w:val="24"/>
        </w:rPr>
      </w:pPr>
      <w:r>
        <w:rPr>
          <w:rFonts w:hint="eastAsia" w:ascii="宋体" w:hAnsi="宋体"/>
          <w:sz w:val="24"/>
        </w:rPr>
        <w:t xml:space="preserve">分析全面具体详实、合理性和完整性高的，得10分；</w:t>
      </w:r>
      <w:r/>
    </w:p>
    <w:p>
      <w:pPr>
        <w:ind w:firstLine="420"/>
        <w:spacing w:line="360" w:lineRule="auto"/>
        <w:rPr>
          <w:rFonts w:hint="eastAsia" w:ascii="宋体" w:hAnsi="宋体"/>
          <w:sz w:val="24"/>
        </w:rPr>
      </w:pPr>
      <w:r>
        <w:rPr>
          <w:rFonts w:hint="eastAsia" w:ascii="宋体" w:hAnsi="宋体"/>
          <w:sz w:val="24"/>
        </w:rPr>
        <w:t xml:space="preserve">分析简单、合理性一般的，得6分；</w:t>
      </w:r>
      <w:r/>
    </w:p>
    <w:p>
      <w:pPr>
        <w:ind w:firstLine="420"/>
        <w:spacing w:line="360" w:lineRule="auto"/>
        <w:rPr>
          <w:rFonts w:hint="eastAsia" w:ascii="宋体" w:hAnsi="宋体"/>
          <w:sz w:val="24"/>
        </w:rPr>
      </w:pPr>
      <w:r>
        <w:rPr>
          <w:rFonts w:hint="eastAsia" w:ascii="宋体" w:hAnsi="宋体"/>
          <w:sz w:val="24"/>
        </w:rPr>
        <w:t xml:space="preserve">分析不透彻、合理性较差的，得2分；</w:t>
      </w:r>
      <w:r/>
    </w:p>
    <w:p>
      <w:pPr>
        <w:ind w:firstLine="420"/>
        <w:spacing w:line="360" w:lineRule="auto"/>
        <w:rPr>
          <w:rFonts w:hint="eastAsia" w:ascii="宋体" w:hAnsi="宋体"/>
          <w:sz w:val="24"/>
        </w:rPr>
      </w:pPr>
      <w:r>
        <w:rPr>
          <w:rFonts w:hint="eastAsia" w:ascii="宋体" w:hAnsi="宋体"/>
          <w:sz w:val="24"/>
        </w:rPr>
        <w:t xml:space="preserve">未提供的不得分。</w:t>
      </w:r>
      <w:r/>
    </w:p>
    <w:p>
      <w:pPr>
        <w:ind w:firstLine="420"/>
        <w:spacing w:line="360" w:lineRule="auto"/>
        <w:rPr>
          <w:rFonts w:hint="eastAsia" w:ascii="宋体" w:hAnsi="宋体"/>
          <w:sz w:val="24"/>
        </w:rPr>
      </w:pPr>
      <w:r>
        <w:rPr>
          <w:rFonts w:hint="eastAsia" w:ascii="宋体" w:hAnsi="宋体"/>
          <w:sz w:val="24"/>
        </w:rPr>
        <w:t xml:space="preserve">5、针对本项目服务期间与其他相关单位、部门的综合协调处理方案（包括实施维护作业期间与服务范围内的各个街道、物业、居民及其它相关单位、部门综合协调处理方案）。（10分）</w:t>
      </w:r>
      <w:r/>
    </w:p>
    <w:p>
      <w:pPr>
        <w:ind w:firstLine="420"/>
        <w:spacing w:line="360" w:lineRule="auto"/>
        <w:rPr>
          <w:rFonts w:hint="eastAsia" w:ascii="宋体" w:hAnsi="宋体"/>
          <w:sz w:val="24"/>
        </w:rPr>
      </w:pPr>
      <w:r>
        <w:rPr>
          <w:rFonts w:hint="eastAsia" w:ascii="宋体" w:hAnsi="宋体"/>
          <w:sz w:val="24"/>
        </w:rPr>
        <w:t xml:space="preserve">方案详实具体、针对性强、科学、可行性强的，得10分；</w:t>
      </w:r>
      <w:r/>
    </w:p>
    <w:p>
      <w:pPr>
        <w:ind w:firstLine="420"/>
        <w:spacing w:line="360" w:lineRule="auto"/>
        <w:rPr>
          <w:rFonts w:hint="eastAsia" w:ascii="宋体" w:hAnsi="宋体"/>
          <w:sz w:val="24"/>
        </w:rPr>
      </w:pPr>
      <w:r>
        <w:rPr>
          <w:rFonts w:hint="eastAsia" w:ascii="宋体" w:hAnsi="宋体"/>
          <w:sz w:val="24"/>
        </w:rPr>
        <w:t xml:space="preserve">方案内容、针对性及项目实施可行性一般的，得6分；</w:t>
      </w:r>
      <w:r/>
    </w:p>
    <w:p>
      <w:pPr>
        <w:ind w:firstLine="420"/>
        <w:spacing w:line="360" w:lineRule="auto"/>
        <w:rPr>
          <w:rFonts w:hint="eastAsia" w:ascii="宋体" w:hAnsi="宋体"/>
          <w:sz w:val="24"/>
        </w:rPr>
      </w:pPr>
      <w:r>
        <w:rPr>
          <w:rFonts w:hint="eastAsia" w:ascii="宋体" w:hAnsi="宋体"/>
          <w:sz w:val="24"/>
        </w:rPr>
        <w:t xml:space="preserve">方案欠缺、针对性弱、科学合理性较差的，得2分；</w:t>
      </w:r>
      <w:r/>
    </w:p>
    <w:p>
      <w:pPr>
        <w:ind w:firstLine="420"/>
        <w:spacing w:line="360" w:lineRule="auto"/>
        <w:rPr>
          <w:rFonts w:hint="eastAsia" w:ascii="宋体" w:hAnsi="宋体"/>
          <w:sz w:val="24"/>
        </w:rPr>
      </w:pPr>
      <w:r>
        <w:rPr>
          <w:rFonts w:hint="eastAsia" w:ascii="宋体" w:hAnsi="宋体"/>
          <w:sz w:val="24"/>
        </w:rPr>
        <w:t xml:space="preserve">未提供的不得分。</w:t>
      </w:r>
      <w:r/>
    </w:p>
    <w:p>
      <w:pPr>
        <w:ind w:firstLine="420"/>
        <w:spacing w:line="360" w:lineRule="auto"/>
        <w:rPr>
          <w:rFonts w:hint="eastAsia" w:ascii="宋体" w:hAnsi="宋体"/>
          <w:sz w:val="24"/>
        </w:rPr>
      </w:pPr>
      <w:r>
        <w:rPr>
          <w:rFonts w:hint="eastAsia" w:ascii="宋体" w:hAnsi="宋体"/>
          <w:sz w:val="24"/>
        </w:rPr>
        <w:t xml:space="preserve">6、针对本项目的安全文明作业计划安排措施方案（根据维护服务特点，服务过程中的文明作业措施方案（包括夜间和节假日管理人员的合理调配、换岗，组织管理体系科学，能够有效实施管理工作等）。（10分）</w:t>
      </w:r>
      <w:r/>
    </w:p>
    <w:p>
      <w:pPr>
        <w:ind w:firstLine="420"/>
        <w:spacing w:line="360" w:lineRule="auto"/>
        <w:rPr>
          <w:rFonts w:hint="eastAsia" w:ascii="宋体" w:hAnsi="宋体"/>
          <w:sz w:val="24"/>
        </w:rPr>
      </w:pPr>
      <w:r>
        <w:rPr>
          <w:rFonts w:hint="eastAsia" w:ascii="宋体" w:hAnsi="宋体"/>
          <w:sz w:val="24"/>
        </w:rPr>
        <w:t xml:space="preserve">方案详实具体、针对性强、科学、可行性强的，得10分；</w:t>
      </w:r>
      <w:r/>
    </w:p>
    <w:p>
      <w:pPr>
        <w:ind w:firstLine="420"/>
        <w:spacing w:line="360" w:lineRule="auto"/>
        <w:rPr>
          <w:rFonts w:hint="eastAsia" w:ascii="宋体" w:hAnsi="宋体"/>
          <w:sz w:val="24"/>
        </w:rPr>
      </w:pPr>
      <w:r>
        <w:rPr>
          <w:rFonts w:hint="eastAsia" w:ascii="宋体" w:hAnsi="宋体"/>
          <w:sz w:val="24"/>
        </w:rPr>
        <w:t xml:space="preserve">方案内容、针对性及项目实施可行性一般的，得6分；</w:t>
      </w:r>
      <w:r/>
    </w:p>
    <w:p>
      <w:pPr>
        <w:ind w:firstLine="420"/>
        <w:spacing w:line="360" w:lineRule="auto"/>
        <w:rPr>
          <w:rFonts w:hint="eastAsia" w:ascii="宋体" w:hAnsi="宋体"/>
          <w:sz w:val="24"/>
        </w:rPr>
      </w:pPr>
      <w:r>
        <w:rPr>
          <w:rFonts w:hint="eastAsia" w:ascii="宋体" w:hAnsi="宋体"/>
          <w:sz w:val="24"/>
        </w:rPr>
        <w:t xml:space="preserve">方案欠缺、针对性弱、科学合理性较差的，得2分；</w:t>
      </w:r>
      <w:r/>
    </w:p>
    <w:p>
      <w:pPr>
        <w:ind w:firstLine="420"/>
        <w:spacing w:line="360" w:lineRule="auto"/>
        <w:rPr>
          <w:rFonts w:hint="eastAsia" w:ascii="宋体" w:hAnsi="宋体"/>
          <w:sz w:val="24"/>
        </w:rPr>
      </w:pPr>
      <w:r>
        <w:rPr>
          <w:rFonts w:hint="eastAsia" w:ascii="宋体" w:hAnsi="宋体"/>
          <w:sz w:val="24"/>
        </w:rPr>
        <w:t xml:space="preserve">未提供的不得分。</w:t>
      </w:r>
      <w:r/>
    </w:p>
    <w:p>
      <w:pPr>
        <w:ind w:firstLine="420"/>
        <w:spacing w:line="360" w:lineRule="auto"/>
        <w:rPr>
          <w:rFonts w:hint="eastAsia" w:ascii="宋体" w:hAnsi="宋体"/>
          <w:sz w:val="24"/>
        </w:rPr>
      </w:pPr>
      <w:r>
        <w:rPr>
          <w:rFonts w:hint="eastAsia" w:ascii="宋体" w:hAnsi="宋体"/>
          <w:sz w:val="24"/>
        </w:rPr>
        <w:t xml:space="preserve">7、服务响应时间。（8分）</w:t>
      </w:r>
      <w:r/>
    </w:p>
    <w:p>
      <w:pPr>
        <w:ind w:firstLine="420"/>
        <w:spacing w:line="360" w:lineRule="auto"/>
        <w:rPr>
          <w:rFonts w:hint="eastAsia" w:ascii="宋体" w:hAnsi="宋体"/>
          <w:sz w:val="24"/>
        </w:rPr>
      </w:pPr>
      <w:r>
        <w:rPr>
          <w:rFonts w:hint="eastAsia" w:ascii="宋体" w:hAnsi="宋体"/>
          <w:sz w:val="24"/>
        </w:rPr>
        <w:t xml:space="preserve">承诺响应时间最及时、反馈准确的，得8分；</w:t>
      </w:r>
      <w:r/>
    </w:p>
    <w:p>
      <w:pPr>
        <w:ind w:firstLine="420"/>
        <w:spacing w:line="360" w:lineRule="auto"/>
        <w:rPr>
          <w:rFonts w:hint="eastAsia" w:ascii="宋体" w:hAnsi="宋体"/>
          <w:sz w:val="24"/>
        </w:rPr>
      </w:pPr>
      <w:r>
        <w:rPr>
          <w:rFonts w:hint="eastAsia" w:ascii="宋体" w:hAnsi="宋体"/>
          <w:sz w:val="24"/>
        </w:rPr>
        <w:t xml:space="preserve">承诺响应时间比较及时合理的，得5分；</w:t>
      </w:r>
      <w:r/>
    </w:p>
    <w:p>
      <w:pPr>
        <w:ind w:firstLine="420"/>
        <w:spacing w:line="360" w:lineRule="auto"/>
        <w:rPr>
          <w:rFonts w:hint="eastAsia" w:ascii="宋体" w:hAnsi="宋体"/>
          <w:sz w:val="24"/>
        </w:rPr>
      </w:pPr>
      <w:r>
        <w:rPr>
          <w:rFonts w:hint="eastAsia" w:ascii="宋体" w:hAnsi="宋体"/>
          <w:sz w:val="24"/>
        </w:rPr>
        <w:t xml:space="preserve">承诺响应时间较长、反馈含糊的，得2分；</w:t>
      </w:r>
      <w:r/>
    </w:p>
    <w:p>
      <w:pPr>
        <w:ind w:firstLine="420"/>
        <w:spacing w:line="360" w:lineRule="auto"/>
        <w:rPr>
          <w:rFonts w:hint="eastAsia" w:ascii="宋体" w:hAnsi="宋体"/>
          <w:sz w:val="24"/>
        </w:rPr>
      </w:pPr>
      <w:r>
        <w:rPr>
          <w:rFonts w:hint="eastAsia" w:ascii="宋体" w:hAnsi="宋体"/>
          <w:sz w:val="24"/>
        </w:rPr>
        <w:t xml:space="preserve">无承诺的不得分；</w:t>
      </w:r>
      <w:r/>
    </w:p>
    <w:p>
      <w:pPr>
        <w:ind w:firstLine="420"/>
        <w:spacing w:line="360" w:lineRule="auto"/>
        <w:rPr>
          <w:rFonts w:hint="eastAsia" w:ascii="宋体" w:hAnsi="宋体"/>
          <w:sz w:val="24"/>
        </w:rPr>
      </w:pPr>
      <w:r>
        <w:rPr>
          <w:rFonts w:hint="eastAsia" w:ascii="宋体" w:hAnsi="宋体"/>
          <w:sz w:val="24"/>
        </w:rPr>
        <w:t xml:space="preserve">8、供应商体系认证（6分）：</w:t>
      </w:r>
      <w:r/>
    </w:p>
    <w:p>
      <w:pPr>
        <w:ind w:firstLine="420"/>
        <w:spacing w:line="360" w:lineRule="auto"/>
        <w:rPr>
          <w:rFonts w:hint="eastAsia" w:ascii="宋体" w:hAnsi="宋体"/>
          <w:sz w:val="24"/>
        </w:rPr>
      </w:pPr>
      <w:r>
        <w:rPr>
          <w:rFonts w:hint="eastAsia" w:ascii="宋体" w:hAnsi="宋体"/>
          <w:sz w:val="24"/>
        </w:rPr>
        <w:t xml:space="preserve">提供具有有效期内的ISO质量管理体系认证证书、ISO环境管理体系认证证书、ISO职业健康安全体系认证证书扫描件，有一项的，得2分，最高得6分。（上述认证证书必须在中国国家认证认可监督管理委员会官网可查，投标文件中必须提供在此网站上查验的截图，否则对应评分项不得分。）</w:t>
      </w:r>
      <w:r/>
    </w:p>
    <w:p>
      <w:pPr>
        <w:ind w:firstLine="420"/>
        <w:spacing w:line="360" w:lineRule="auto"/>
        <w:rPr>
          <w:rFonts w:hint="eastAsia" w:ascii="宋体" w:hAnsi="宋体"/>
          <w:sz w:val="24"/>
        </w:rPr>
      </w:pPr>
      <w:r>
        <w:rPr>
          <w:rFonts w:hint="eastAsia" w:ascii="宋体" w:hAnsi="宋体"/>
          <w:sz w:val="24"/>
        </w:rPr>
        <w:t xml:space="preserve">9、类似业绩（8分）</w:t>
      </w:r>
      <w:r/>
    </w:p>
    <w:p>
      <w:pPr>
        <w:ind w:firstLine="420"/>
        <w:spacing w:line="360" w:lineRule="auto"/>
        <w:rPr>
          <w:rFonts w:hint="eastAsia" w:ascii="宋体" w:hAnsi="宋体"/>
          <w:sz w:val="24"/>
        </w:rPr>
      </w:pPr>
      <w:r>
        <w:rPr>
          <w:rFonts w:hint="eastAsia" w:ascii="宋体" w:hAnsi="宋体"/>
          <w:sz w:val="24"/>
        </w:rPr>
        <w:t xml:space="preserve">2022年10月01日以来（以合同签订日期为准）供应商承担过类似维护项目，有1个的，得2分，最高得8分。(提供类似业绩的完整合同及与合同对应的任意一期或几期发票复印件，否则不得分)</w:t>
      </w:r>
      <w:bookmarkEnd w:id="74"/>
      <w:r/>
      <w:r/>
    </w:p>
    <w:p>
      <w:pPr>
        <w:pStyle w:val="10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三、政府采购政策：</w:t>
      </w:r>
      <w:r/>
    </w:p>
    <w:p>
      <w:pPr>
        <w:ind w:firstLine="240"/>
        <w:spacing w:line="360" w:lineRule="auto"/>
        <w:rPr>
          <w:rFonts w:hint="eastAsia" w:ascii="宋体" w:hAnsi="宋体" w:cs="宋体"/>
          <w:sz w:val="24"/>
        </w:rPr>
      </w:pPr>
      <w:r/>
      <w:bookmarkStart w:id="76" w:name="_Hlk211352585"/>
      <w:r>
        <w:rPr>
          <w:rFonts w:hint="eastAsia" w:ascii="宋体" w:hAnsi="宋体" w:cs="宋体"/>
          <w:sz w:val="24"/>
        </w:rPr>
        <w:t xml:space="preserve">1、中、小企业： </w:t>
      </w:r>
      <w:r/>
    </w:p>
    <w:p>
      <w:pPr>
        <w:ind w:firstLine="480"/>
        <w:spacing w:line="360" w:lineRule="auto"/>
        <w:rPr>
          <w:rFonts w:hint="eastAsia" w:ascii="宋体" w:hAnsi="宋体" w:cs="宋体"/>
          <w:sz w:val="24"/>
        </w:rPr>
      </w:pPr>
      <w:r>
        <w:rPr>
          <w:rFonts w:hint="eastAsia" w:ascii="宋体" w:hAnsi="宋体" w:cs="宋体"/>
          <w:sz w:val="24"/>
        </w:rPr>
        <w:t xml:space="preserve">根据财政部、工业和信息化部关于印发《政府采购促进中小企业发展管理办法》的通知规定： </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本项目不属于预留份额专门面向中小企业采购的项目。如供应商属于小微企业，对其报价给予 </w:t>
      </w:r>
      <w:r>
        <w:rPr>
          <w:rFonts w:ascii="宋体" w:hAnsi="宋体" w:cs="宋体"/>
          <w:sz w:val="24"/>
        </w:rPr>
        <w:t xml:space="preserve">2</w:t>
      </w:r>
      <w:r>
        <w:rPr>
          <w:rFonts w:hint="eastAsia" w:ascii="宋体" w:hAnsi="宋体" w:cs="宋体"/>
          <w:sz w:val="24"/>
        </w:rPr>
        <w:t xml:space="preserve">0％ 的扣除，用扣除后的价格参与评审。 </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本项目采购标的对应的中小企业划分标准所属行业：</w:t>
      </w:r>
      <w:r>
        <w:rPr>
          <w:rFonts w:ascii="宋体" w:hAnsi="宋体" w:cs="宋体"/>
          <w:sz w:val="24"/>
        </w:rPr>
        <w:t xml:space="preserve">其他未列明行业</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cs="宋体"/>
          <w:sz w:val="24"/>
        </w:rPr>
        <w:t xml:space="preserve">    1.4</w:t>
      </w:r>
      <w:r>
        <w:rPr>
          <w:rFonts w:hint="eastAsia" w:ascii="宋体" w:hAnsi="宋体" w:cs="宋体"/>
          <w:sz w:val="24"/>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cs="宋体"/>
          <w:sz w:val="24"/>
        </w:rPr>
      </w:pPr>
      <w:r>
        <w:rPr>
          <w:rFonts w:ascii="宋体" w:hAnsi="宋体" w:cs="宋体"/>
          <w:sz w:val="24"/>
        </w:rPr>
        <w:t xml:space="preserve">1.5</w:t>
      </w:r>
      <w:r>
        <w:rPr>
          <w:rFonts w:hint="eastAsia" w:ascii="宋体" w:hAnsi="宋体" w:cs="宋体"/>
          <w:sz w:val="24"/>
        </w:rPr>
        <w:t xml:space="preserve">本项目中，供应商提供的货物由中小企业制造，即货物由中小企业生产且使用该中小企业商号或者注册商标，才可享受规定的中小企业扶持政策。</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若供应商提供的《中小企业声明函》为虚假声明则视同提供虚假材料，按政府采购相关规定处理并报请政府监管部门给予行政处罚。</w:t>
      </w:r>
      <w:r/>
    </w:p>
    <w:p>
      <w:pPr>
        <w:ind w:firstLine="480"/>
        <w:spacing w:line="360" w:lineRule="auto"/>
        <w:rPr>
          <w:rFonts w:hint="eastAsia" w:ascii="宋体" w:hAnsi="宋体" w:cs="宋体"/>
          <w:sz w:val="24"/>
        </w:rPr>
      </w:pPr>
      <w:r>
        <w:rPr>
          <w:rFonts w:hint="eastAsia" w:ascii="宋体" w:hAnsi="宋体" w:cs="宋体"/>
          <w:sz w:val="24"/>
        </w:rPr>
        <w:t xml:space="preserve">2、残疾人福利性单位：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根据《关于贯彻执行绿色采购、促进残疾人就业和支持监狱企业发展有关政策的通知（苏财购〔2020〕10 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0"/>
        <w:spacing w:line="360" w:lineRule="auto"/>
        <w:rPr>
          <w:rFonts w:hint="eastAsia" w:ascii="宋体" w:hAnsi="宋体" w:cs="宋体"/>
          <w:sz w:val="24"/>
        </w:rPr>
      </w:pPr>
      <w:r>
        <w:rPr>
          <w:rFonts w:hint="eastAsia" w:ascii="宋体" w:hAnsi="宋体" w:cs="宋体"/>
          <w:sz w:val="24"/>
        </w:rPr>
        <w:t xml:space="preserve">3、监狱企业：</w:t>
      </w:r>
      <w:r/>
    </w:p>
    <w:p>
      <w:pPr>
        <w:ind w:firstLine="480"/>
        <w:spacing w:line="360" w:lineRule="auto"/>
        <w:rPr>
          <w:rFonts w:hint="eastAsia" w:ascii="宋体" w:hAnsi="宋体" w:cs="宋体"/>
          <w:sz w:val="24"/>
        </w:rPr>
      </w:pPr>
      <w:r>
        <w:rPr>
          <w:rFonts w:hint="eastAsia" w:ascii="宋体" w:hAnsi="宋体" w:cs="宋体"/>
          <w:sz w:val="24"/>
        </w:rPr>
        <w:t xml:space="preserve">根据苏财购【2019】10 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80"/>
        <w:spacing w:line="360" w:lineRule="auto"/>
        <w:rPr>
          <w:rFonts w:hint="eastAsia" w:ascii="宋体" w:hAnsi="宋体" w:cs="宋体"/>
          <w:bCs/>
          <w:sz w:val="24"/>
        </w:rPr>
      </w:pPr>
      <w:r>
        <w:rPr>
          <w:rFonts w:hint="eastAsia" w:ascii="宋体" w:hAnsi="宋体"/>
          <w:bCs/>
          <w:sz w:val="24"/>
        </w:rPr>
        <w:t xml:space="preserve">4、</w:t>
      </w:r>
      <w:r>
        <w:rPr>
          <w:rFonts w:hint="eastAsia" w:ascii="宋体" w:hAnsi="宋体" w:cs="宋体"/>
          <w:bCs/>
          <w:sz w:val="24"/>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 </w:t>
      </w:r>
      <w:r>
        <w:rPr>
          <w:rFonts w:ascii="宋体" w:hAnsi="宋体" w:cs="宋体"/>
          <w:bCs/>
          <w:sz w:val="24"/>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（1）查询时间：投标文件递交截止时间。</w:t>
      </w:r>
      <w:r/>
    </w:p>
    <w:p>
      <w:pPr>
        <w:ind w:firstLine="480"/>
        <w:spacing w:line="360" w:lineRule="auto"/>
        <w:rPr>
          <w:rFonts w:hint="eastAsia" w:ascii="宋体" w:hAnsi="宋体" w:cs="宋体"/>
          <w:bCs/>
          <w:sz w:val="24"/>
        </w:rPr>
      </w:pPr>
      <w:r>
        <w:rPr>
          <w:rFonts w:hint="eastAsia" w:ascii="宋体" w:hAnsi="宋体" w:cs="宋体"/>
          <w:bCs/>
          <w:sz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spacing w:line="360" w:lineRule="auto"/>
        <w:rPr>
          <w:rFonts w:hint="eastAsia" w:ascii="宋体" w:hAnsi="宋体" w:cs="宋体"/>
          <w:bCs/>
          <w:sz w:val="24"/>
        </w:rPr>
      </w:pPr>
      <w:r>
        <w:rPr>
          <w:rFonts w:hint="eastAsia" w:ascii="宋体" w:hAnsi="宋体" w:cs="宋体"/>
          <w:bCs/>
          <w:sz w:val="24"/>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hint="eastAsia" w:ascii="宋体" w:hAnsi="宋体" w:cs="宋体"/>
          <w:sz w:val="24"/>
        </w:rPr>
      </w:pPr>
      <w:r>
        <w:rPr>
          <w:rFonts w:hint="eastAsia" w:ascii="宋体" w:hAnsi="宋体" w:cs="宋体"/>
          <w:bCs/>
          <w:sz w:val="24"/>
        </w:rPr>
        <w:t xml:space="preserve">（4）信用记录使用规则：评审小组在对供应商进行资格性审查时，应根据查询结果对供应商的不良信用记录逐项甄别确认。</w:t>
      </w:r>
      <w:bookmarkEnd w:id="76"/>
      <w:r/>
      <w:r/>
    </w:p>
    <w:p>
      <w:pPr>
        <w:ind w:firstLine="480"/>
        <w:spacing w:line="360" w:lineRule="auto"/>
        <w:rPr>
          <w:rFonts w:hint="eastAsia" w:ascii="宋体" w:hAnsi="宋体" w:cs="宋体"/>
          <w:bCs/>
          <w:sz w:val="24"/>
        </w:rPr>
      </w:pPr>
      <w:r>
        <w:rPr>
          <w:rFonts w:hint="eastAsia" w:ascii="宋体" w:hAnsi="宋体" w:cs="宋体"/>
          <w:bCs/>
          <w:sz w:val="24"/>
        </w:rPr>
        <w:t xml:space="preserve">（全文完）</w:t>
      </w:r>
      <w:r>
        <w:rPr>
          <w:rFonts w:hint="eastAsia" w:ascii="宋体" w:hAnsi="宋体" w:cs="宋体"/>
          <w:bCs/>
          <w:sz w:val="24"/>
        </w:rPr>
        <w:t xml:space="preserve"> </w:t>
      </w:r>
      <w:bookmarkStart w:id="77" w:name="_Hlk154935961"/>
      <w:r/>
      <w:bookmarkEnd w:id="77"/>
      <w:r/>
      <w:r/>
    </w:p>
    <w:p>
      <w:pPr>
        <w:pStyle w:val="1028"/>
        <w:jc w:val="right"/>
        <w:spacing w:line="360" w:lineRule="auto"/>
        <w:rPr>
          <w:rFonts w:hint="eastAsia" w:ascii="宋体" w:hAnsi="宋体" w:cs="宋体"/>
          <w:bCs/>
          <w:color w:val="000000"/>
          <w:sz w:val="24"/>
        </w:rPr>
      </w:pPr>
      <w:r>
        <w:rPr>
          <w:rFonts w:hint="eastAsia" w:ascii="宋体" w:hAnsi="宋体" w:cs="宋体"/>
          <w:bCs/>
          <w:color w:val="000000"/>
          <w:sz w:val="24"/>
        </w:rPr>
      </w:r>
      <w:r/>
    </w:p>
    <w:sectPr>
      <w:footerReference w:type="default" r:id="rId9"/>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华文楷体">
    <w:panose1 w:val="02010600040101010101"/>
  </w:font>
  <w:font w:name="Tahoma">
    <w:panose1 w:val="020B0604030504040204"/>
  </w:font>
  <w:font w:name="Cambria">
    <w:panose1 w:val="02040503050406030204"/>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华文中宋">
    <w:panose1 w:val="02010600040101010101"/>
  </w:font>
  <w:font w:name="方正书宋_GBK">
    <w:panose1 w:val="020B0503020202020204"/>
  </w:font>
  <w:font w:name="黑体">
    <w:panose1 w:val="02010609060101010101"/>
  </w:font>
  <w:font w:name="楷体_GB2312">
    <w:panose1 w:val="02010609060101010101"/>
  </w:font>
  <w:font w:name="文鼎大标宋简">
    <w:panose1 w:val="020B0503020202020204"/>
  </w:font>
  <w:font w:name="Microsoft YaHei UI">
    <w:panose1 w:val="020B0503020204020204"/>
  </w:font>
  <w:font w:name="Arial Unicode MS">
    <w:panose1 w:val="020B0604020202020204"/>
  </w:font>
  <w:font w:name="Arial">
    <w:panose1 w:val="020B0604020202020204"/>
  </w:font>
  <w:font w:name="幼圆_GB2312">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51102780"/>
      <w:docPartObj>
        <w:docPartGallery w:val="Page Numbers (Bottom of Page)"/>
        <w:docPartUnique w:val="true"/>
      </w:docPartObj>
      <w:rPr/>
    </w:sdtPr>
    <w:sdtContent>
      <w:p>
        <w:pPr>
          <w:pStyle w:val="758"/>
          <w:jc w:val="center"/>
        </w:pPr>
        <w:r>
          <w:fldChar w:fldCharType="begin"/>
        </w:r>
        <w:r>
          <w:instrText xml:space="preserve">PAGE   \* MERGEFORMAT</w:instrText>
        </w:r>
        <w:r>
          <w:fldChar w:fldCharType="separate"/>
        </w:r>
        <w:r>
          <w:rPr>
            <w:lang w:val="zh-CN"/>
          </w:rPr>
          <w:t xml:space="preserve">74</w:t>
        </w:r>
        <w:r>
          <w:fldChar w:fldCharType="end"/>
        </w:r>
        <w:r/>
      </w:p>
    </w:sdtContent>
  </w:sdt>
  <w:p>
    <w:pPr>
      <w:pStyle w:val="837"/>
      <w:ind w:right="800"/>
      <w:jc w:val="right"/>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3">
    <w:multiLevelType w:val="hybridMultilevel"/>
    <w:lvl w:ilvl="0">
      <w:start w:val="2"/>
      <w:numFmt w:val="japaneseCounting"/>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2"/>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6">
    <w:multiLevelType w:val="hybridMultilevel"/>
    <w:lvl w:ilvl="0">
      <w:start w:val="11"/>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7">
    <w:multiLevelType w:val="hybridMultilevel"/>
    <w:lvl w:ilvl="0">
      <w:start w:val="8"/>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8">
    <w:multiLevelType w:val="hybridMultilevel"/>
    <w:lvl w:ilvl="0">
      <w:start w:val="5"/>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9"/>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10">
    <w:multiLevelType w:val="hybridMultilevel"/>
    <w:lvl w:ilvl="0">
      <w:start w:val="4"/>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11">
    <w:multiLevelType w:val="hybridMultilevel"/>
    <w:lvl w:ilvl="0">
      <w:start w:val="3"/>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12">
    <w:multiLevelType w:val="hybridMultilevel"/>
    <w:lvl w:ilvl="0">
      <w:start w:val="1"/>
      <w:numFmt w:val="bullet"/>
      <w:isLgl w:val="false"/>
      <w:suff w:val="tab"/>
      <w:lvlText w:val=""/>
      <w:lvlJc w:val="left"/>
      <w:pPr>
        <w:ind w:left="832" w:hanging="420"/>
      </w:pPr>
      <w:rPr>
        <w:rFonts w:hint="default" w:ascii="Wingdings" w:hAnsi="Wingdings"/>
      </w:rPr>
    </w:lvl>
    <w:lvl w:ilvl="1">
      <w:start w:val="1"/>
      <w:numFmt w:val="bullet"/>
      <w:isLgl w:val="false"/>
      <w:suff w:val="tab"/>
      <w:lvlText w:val=""/>
      <w:lvlJc w:val="left"/>
      <w:pPr>
        <w:ind w:left="1252" w:hanging="420"/>
      </w:pPr>
      <w:rPr>
        <w:rFonts w:hint="default" w:ascii="Wingdings" w:hAnsi="Wingdings"/>
      </w:rPr>
    </w:lvl>
    <w:lvl w:ilvl="2">
      <w:start w:val="1"/>
      <w:numFmt w:val="bullet"/>
      <w:isLgl w:val="false"/>
      <w:suff w:val="tab"/>
      <w:lvlText w:val=""/>
      <w:lvlJc w:val="left"/>
      <w:pPr>
        <w:ind w:left="1672" w:hanging="420"/>
      </w:pPr>
      <w:rPr>
        <w:rFonts w:hint="default" w:ascii="Wingdings" w:hAnsi="Wingdings"/>
      </w:rPr>
    </w:lvl>
    <w:lvl w:ilvl="3">
      <w:start w:val="1"/>
      <w:numFmt w:val="bullet"/>
      <w:isLgl w:val="false"/>
      <w:suff w:val="tab"/>
      <w:lvlText w:val=""/>
      <w:lvlJc w:val="left"/>
      <w:pPr>
        <w:ind w:left="2092" w:hanging="420"/>
      </w:pPr>
      <w:rPr>
        <w:rFonts w:hint="default" w:ascii="Wingdings" w:hAnsi="Wingdings"/>
      </w:rPr>
    </w:lvl>
    <w:lvl w:ilvl="4">
      <w:start w:val="1"/>
      <w:numFmt w:val="bullet"/>
      <w:isLgl w:val="false"/>
      <w:suff w:val="tab"/>
      <w:lvlText w:val=""/>
      <w:lvlJc w:val="left"/>
      <w:pPr>
        <w:ind w:left="2512" w:hanging="420"/>
      </w:pPr>
      <w:rPr>
        <w:rFonts w:hint="default" w:ascii="Wingdings" w:hAnsi="Wingdings"/>
      </w:rPr>
    </w:lvl>
    <w:lvl w:ilvl="5">
      <w:start w:val="1"/>
      <w:numFmt w:val="bullet"/>
      <w:isLgl w:val="false"/>
      <w:suff w:val="tab"/>
      <w:lvlText w:val=""/>
      <w:lvlJc w:val="left"/>
      <w:pPr>
        <w:ind w:left="2932" w:hanging="420"/>
      </w:pPr>
      <w:rPr>
        <w:rFonts w:hint="default" w:ascii="Wingdings" w:hAnsi="Wingdings"/>
      </w:rPr>
    </w:lvl>
    <w:lvl w:ilvl="6">
      <w:start w:val="1"/>
      <w:numFmt w:val="bullet"/>
      <w:isLgl w:val="false"/>
      <w:suff w:val="tab"/>
      <w:lvlText w:val=""/>
      <w:lvlJc w:val="left"/>
      <w:pPr>
        <w:ind w:left="3352" w:hanging="420"/>
      </w:pPr>
      <w:rPr>
        <w:rFonts w:hint="default" w:ascii="Wingdings" w:hAnsi="Wingdings"/>
      </w:rPr>
    </w:lvl>
    <w:lvl w:ilvl="7">
      <w:start w:val="1"/>
      <w:numFmt w:val="bullet"/>
      <w:isLgl w:val="false"/>
      <w:suff w:val="tab"/>
      <w:lvlText w:val=""/>
      <w:lvlJc w:val="left"/>
      <w:pPr>
        <w:ind w:left="3772" w:hanging="420"/>
      </w:pPr>
      <w:rPr>
        <w:rFonts w:hint="default" w:ascii="Wingdings" w:hAnsi="Wingdings"/>
      </w:rPr>
    </w:lvl>
    <w:lvl w:ilvl="8">
      <w:start w:val="1"/>
      <w:numFmt w:val="bullet"/>
      <w:isLgl w:val="false"/>
      <w:suff w:val="tab"/>
      <w:lvlText w:val=""/>
      <w:lvlJc w:val="left"/>
      <w:pPr>
        <w:ind w:left="4192" w:hanging="420"/>
      </w:pPr>
      <w:rPr>
        <w:rFonts w:hint="default" w:ascii="Wingdings" w:hAnsi="Wingdings"/>
      </w:rPr>
    </w:lvl>
  </w:abstractNum>
  <w:abstractNum w:abstractNumId="13">
    <w:multiLevelType w:val="hybridMultilevel"/>
    <w:lvl w:ilvl="0">
      <w:start w:val="7"/>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14">
    <w:multiLevelType w:val="hybridMultilevel"/>
    <w:lvl w:ilvl="0">
      <w:start w:val="5"/>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1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0"/>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17">
    <w:multiLevelType w:val="hybridMultilevel"/>
    <w:lvl w:ilvl="0">
      <w:start w:val="6"/>
      <w:numFmt w:val="decimalHalfWidth"/>
      <w:isLgl w:val="false"/>
      <w:suff w:val="tab"/>
      <w:lvlText w:val="%1."/>
      <w:lvlJc w:val="left"/>
      <w:pPr>
        <w:ind w:left="0"/>
      </w:pPr>
    </w:lvl>
    <w:lvl w:ilvl="1">
      <w:start w:val="1"/>
      <w:numFmt w:val="decimalHalfWidth"/>
      <w:isLgl w:val="false"/>
      <w:suff w:val="tab"/>
      <w:lvlText w:val="%1.%2."/>
      <w:lvlJc w:val="left"/>
      <w:pPr>
        <w:ind w:left="0"/>
      </w:pPr>
    </w:lvl>
    <w:lvl w:ilvl="2">
      <w:start w:val="1"/>
      <w:numFmt w:val="decimalHalfWidth"/>
      <w:isLgl w:val="false"/>
      <w:suff w:val="tab"/>
      <w:lvlText w:val="%1.%2.%3."/>
      <w:lvlJc w:val="left"/>
      <w:pPr>
        <w:ind w:left="0"/>
      </w:pPr>
    </w:lvl>
    <w:lvl w:ilvl="3">
      <w:start w:val="1"/>
      <w:numFmt w:val="decimalHalfWidth"/>
      <w:isLgl w:val="false"/>
      <w:suff w:val="tab"/>
      <w:lvlText w:val="%1.%2.%3.%4."/>
      <w:lvlJc w:val="left"/>
      <w:pPr>
        <w:ind w:left="0"/>
      </w:pPr>
    </w:lvl>
    <w:lvl w:ilvl="4">
      <w:start w:val="1"/>
      <w:numFmt w:val="decimalHalfWidth"/>
      <w:isLgl w:val="false"/>
      <w:suff w:val="tab"/>
      <w:lvlText w:val="%1.%2.%3.%4.%5."/>
      <w:lvlJc w:val="left"/>
      <w:pPr>
        <w:ind w:left="0"/>
      </w:pPr>
    </w:lvl>
    <w:lvl w:ilvl="5">
      <w:start w:val="1"/>
      <w:numFmt w:val="decimalHalfWidth"/>
      <w:isLgl w:val="false"/>
      <w:suff w:val="tab"/>
      <w:lvlText w:val="%1.%2.%3.%4.%5.%6."/>
      <w:lvlJc w:val="left"/>
      <w:pPr>
        <w:ind w:left="0"/>
      </w:pPr>
    </w:lvl>
    <w:lvl w:ilvl="6">
      <w:start w:val="1"/>
      <w:numFmt w:val="decimalHalfWidth"/>
      <w:isLgl w:val="false"/>
      <w:suff w:val="tab"/>
      <w:lvlText w:val="%1.%2.%3.%4.%5.%6.%7."/>
      <w:lvlJc w:val="left"/>
      <w:pPr>
        <w:ind w:left="0"/>
      </w:pPr>
    </w:lvl>
    <w:lvl w:ilvl="7">
      <w:start w:val="1"/>
      <w:numFmt w:val="decimalHalfWidth"/>
      <w:isLgl w:val="false"/>
      <w:suff w:val="tab"/>
      <w:lvlText w:val="%1.%2.%3.%4.%5.%6.%7.%8."/>
      <w:lvlJc w:val="left"/>
      <w:pPr>
        <w:ind w:left="0"/>
      </w:pPr>
    </w:lvl>
    <w:lvl w:ilvl="8">
      <w:start w:val="1"/>
      <w:numFmt w:val="decimalHalfWidth"/>
      <w:isLgl w:val="false"/>
      <w:suff w:val="tab"/>
      <w:lvlText w:val="%1.%2.%3.%4.%5.%6.%7.%8.%9."/>
      <w:lvlJc w:val="left"/>
      <w:pPr>
        <w:ind w:left="0"/>
      </w:p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0"/>
      <w:numFmt w:val="decimal"/>
      <w:isLgl w:val="false"/>
      <w:suff w:val="tab"/>
      <w:lvlText w:val="%1、"/>
      <w:lvlJc w:val="left"/>
      <w:pPr>
        <w:ind w:left="960" w:hanging="48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0">
    <w:multiLevelType w:val="hybridMultilevel"/>
    <w:lvl w:ilvl="0">
      <w:start w:val="1"/>
      <w:numFmt w:val="bullet"/>
      <w:isLgl w:val="false"/>
      <w:suff w:val="tab"/>
      <w:lvlText w:val=""/>
      <w:lvlJc w:val="left"/>
      <w:pPr>
        <w:ind w:left="832" w:hanging="420"/>
      </w:pPr>
      <w:rPr>
        <w:rFonts w:hint="default" w:ascii="Wingdings" w:hAnsi="Wingdings"/>
      </w:rPr>
    </w:lvl>
    <w:lvl w:ilvl="1">
      <w:start w:val="1"/>
      <w:numFmt w:val="bullet"/>
      <w:isLgl w:val="false"/>
      <w:suff w:val="tab"/>
      <w:lvlText w:val=""/>
      <w:lvlJc w:val="left"/>
      <w:pPr>
        <w:ind w:left="1252" w:hanging="420"/>
      </w:pPr>
      <w:rPr>
        <w:rFonts w:hint="default" w:ascii="Wingdings" w:hAnsi="Wingdings"/>
      </w:rPr>
    </w:lvl>
    <w:lvl w:ilvl="2">
      <w:start w:val="1"/>
      <w:numFmt w:val="bullet"/>
      <w:isLgl w:val="false"/>
      <w:suff w:val="tab"/>
      <w:lvlText w:val=""/>
      <w:lvlJc w:val="left"/>
      <w:pPr>
        <w:ind w:left="1672" w:hanging="420"/>
      </w:pPr>
      <w:rPr>
        <w:rFonts w:hint="default" w:ascii="Wingdings" w:hAnsi="Wingdings"/>
      </w:rPr>
    </w:lvl>
    <w:lvl w:ilvl="3">
      <w:start w:val="1"/>
      <w:numFmt w:val="bullet"/>
      <w:isLgl w:val="false"/>
      <w:suff w:val="tab"/>
      <w:lvlText w:val=""/>
      <w:lvlJc w:val="left"/>
      <w:pPr>
        <w:ind w:left="2092" w:hanging="420"/>
      </w:pPr>
      <w:rPr>
        <w:rFonts w:hint="default" w:ascii="Wingdings" w:hAnsi="Wingdings"/>
      </w:rPr>
    </w:lvl>
    <w:lvl w:ilvl="4">
      <w:start w:val="1"/>
      <w:numFmt w:val="bullet"/>
      <w:isLgl w:val="false"/>
      <w:suff w:val="tab"/>
      <w:lvlText w:val=""/>
      <w:lvlJc w:val="left"/>
      <w:pPr>
        <w:ind w:left="2512" w:hanging="420"/>
      </w:pPr>
      <w:rPr>
        <w:rFonts w:hint="default" w:ascii="Wingdings" w:hAnsi="Wingdings"/>
      </w:rPr>
    </w:lvl>
    <w:lvl w:ilvl="5">
      <w:start w:val="1"/>
      <w:numFmt w:val="bullet"/>
      <w:isLgl w:val="false"/>
      <w:suff w:val="tab"/>
      <w:lvlText w:val=""/>
      <w:lvlJc w:val="left"/>
      <w:pPr>
        <w:ind w:left="2932" w:hanging="420"/>
      </w:pPr>
      <w:rPr>
        <w:rFonts w:hint="default" w:ascii="Wingdings" w:hAnsi="Wingdings"/>
      </w:rPr>
    </w:lvl>
    <w:lvl w:ilvl="6">
      <w:start w:val="1"/>
      <w:numFmt w:val="bullet"/>
      <w:isLgl w:val="false"/>
      <w:suff w:val="tab"/>
      <w:lvlText w:val=""/>
      <w:lvlJc w:val="left"/>
      <w:pPr>
        <w:ind w:left="3352" w:hanging="420"/>
      </w:pPr>
      <w:rPr>
        <w:rFonts w:hint="default" w:ascii="Wingdings" w:hAnsi="Wingdings"/>
      </w:rPr>
    </w:lvl>
    <w:lvl w:ilvl="7">
      <w:start w:val="1"/>
      <w:numFmt w:val="bullet"/>
      <w:isLgl w:val="false"/>
      <w:suff w:val="tab"/>
      <w:lvlText w:val=""/>
      <w:lvlJc w:val="left"/>
      <w:pPr>
        <w:ind w:left="3772" w:hanging="420"/>
      </w:pPr>
      <w:rPr>
        <w:rFonts w:hint="default" w:ascii="Wingdings" w:hAnsi="Wingdings"/>
      </w:rPr>
    </w:lvl>
    <w:lvl w:ilvl="8">
      <w:start w:val="1"/>
      <w:numFmt w:val="bullet"/>
      <w:isLgl w:val="false"/>
      <w:suff w:val="tab"/>
      <w:lvlText w:val=""/>
      <w:lvlJc w:val="left"/>
      <w:pPr>
        <w:ind w:left="4192" w:hanging="420"/>
      </w:pPr>
      <w:rPr>
        <w:rFonts w:hint="default" w:ascii="Wingdings" w:hAnsi="Wingdings"/>
      </w:rPr>
    </w:lvl>
  </w:abstractNum>
  <w:abstractNum w:abstractNumId="21">
    <w:multiLevelType w:val="hybridMultilevel"/>
    <w:lvl w:ilvl="0">
      <w:start w:val="1"/>
      <w:numFmt w:val="decimal"/>
      <w:isLgl w:val="false"/>
      <w:suff w:val="tab"/>
      <w:lvlText w:val="%1、"/>
      <w:lvlJc w:val="left"/>
      <w:pPr>
        <w:ind w:left="792" w:hanging="360"/>
      </w:pPr>
      <w:rPr>
        <w:rFonts w:hint="default"/>
      </w:rPr>
    </w:lvl>
    <w:lvl w:ilvl="1">
      <w:start w:val="1"/>
      <w:numFmt w:val="lowerLetter"/>
      <w:isLgl w:val="false"/>
      <w:suff w:val="tab"/>
      <w:lvlText w:val="%2)"/>
      <w:lvlJc w:val="left"/>
      <w:pPr>
        <w:ind w:left="1272" w:hanging="420"/>
      </w:pPr>
    </w:lvl>
    <w:lvl w:ilvl="2">
      <w:start w:val="1"/>
      <w:numFmt w:val="lowerRoman"/>
      <w:isLgl w:val="false"/>
      <w:suff w:val="tab"/>
      <w:lvlText w:val="%3."/>
      <w:lvlJc w:val="right"/>
      <w:pPr>
        <w:ind w:left="1692" w:hanging="420"/>
      </w:pPr>
    </w:lvl>
    <w:lvl w:ilvl="3">
      <w:start w:val="1"/>
      <w:numFmt w:val="decimal"/>
      <w:isLgl w:val="false"/>
      <w:suff w:val="tab"/>
      <w:lvlText w:val="%4."/>
      <w:lvlJc w:val="left"/>
      <w:pPr>
        <w:ind w:left="2112" w:hanging="420"/>
      </w:pPr>
    </w:lvl>
    <w:lvl w:ilvl="4">
      <w:start w:val="1"/>
      <w:numFmt w:val="lowerLetter"/>
      <w:isLgl w:val="false"/>
      <w:suff w:val="tab"/>
      <w:lvlText w:val="%5)"/>
      <w:lvlJc w:val="left"/>
      <w:pPr>
        <w:ind w:left="2532" w:hanging="420"/>
      </w:pPr>
    </w:lvl>
    <w:lvl w:ilvl="5">
      <w:start w:val="1"/>
      <w:numFmt w:val="lowerRoman"/>
      <w:isLgl w:val="false"/>
      <w:suff w:val="tab"/>
      <w:lvlText w:val="%6."/>
      <w:lvlJc w:val="right"/>
      <w:pPr>
        <w:ind w:left="2952" w:hanging="420"/>
      </w:pPr>
    </w:lvl>
    <w:lvl w:ilvl="6">
      <w:start w:val="1"/>
      <w:numFmt w:val="decimal"/>
      <w:isLgl w:val="false"/>
      <w:suff w:val="tab"/>
      <w:lvlText w:val="%7."/>
      <w:lvlJc w:val="left"/>
      <w:pPr>
        <w:ind w:left="3372" w:hanging="420"/>
      </w:pPr>
    </w:lvl>
    <w:lvl w:ilvl="7">
      <w:start w:val="1"/>
      <w:numFmt w:val="lowerLetter"/>
      <w:isLgl w:val="false"/>
      <w:suff w:val="tab"/>
      <w:lvlText w:val="%8)"/>
      <w:lvlJc w:val="left"/>
      <w:pPr>
        <w:ind w:left="3792" w:hanging="420"/>
      </w:pPr>
    </w:lvl>
    <w:lvl w:ilvl="8">
      <w:start w:val="1"/>
      <w:numFmt w:val="lowerRoman"/>
      <w:isLgl w:val="false"/>
      <w:suff w:val="tab"/>
      <w:lvlText w:val="%9."/>
      <w:lvlJc w:val="right"/>
      <w:pPr>
        <w:ind w:left="4212" w:hanging="420"/>
      </w:pPr>
    </w:lvl>
  </w:abstractNum>
  <w:num w:numId="1">
    <w:abstractNumId w:val="21"/>
  </w:num>
  <w:num w:numId="2">
    <w:abstractNumId w:val="18"/>
  </w:num>
  <w:num w:numId="3">
    <w:abstractNumId w:val="20"/>
  </w:num>
  <w:num w:numId="4">
    <w:abstractNumId w:val="12"/>
  </w:num>
  <w:num w:numId="5">
    <w:abstractNumId w:val="2"/>
  </w:num>
  <w:num w:numId="6">
    <w:abstractNumId w:val="3"/>
  </w:num>
  <w:num w:numId="7">
    <w:abstractNumId w:val="5"/>
  </w:num>
  <w:num w:numId="8">
    <w:abstractNumId w:val="11"/>
  </w:num>
  <w:num w:numId="9">
    <w:abstractNumId w:val="10"/>
  </w:num>
  <w:num w:numId="10">
    <w:abstractNumId w:val="14"/>
  </w:num>
  <w:num w:numId="11">
    <w:abstractNumId w:val="17"/>
  </w:num>
  <w:num w:numId="12">
    <w:abstractNumId w:val="13"/>
  </w:num>
  <w:num w:numId="13">
    <w:abstractNumId w:val="7"/>
  </w:num>
  <w:num w:numId="14">
    <w:abstractNumId w:val="9"/>
  </w:num>
  <w:num w:numId="15">
    <w:abstractNumId w:val="16"/>
  </w:num>
  <w:num w:numId="16">
    <w:abstractNumId w:val="6"/>
  </w:num>
  <w:num w:numId="17">
    <w:abstractNumId w:val="8"/>
  </w:num>
  <w:num w:numId="18">
    <w:abstractNumId w:val="19"/>
  </w:num>
  <w:num w:numId="19">
    <w:abstractNumId w:val="4"/>
  </w:num>
  <w:num w:numId="20">
    <w:abstractNumId w:val="0"/>
  </w:num>
  <w:num w:numId="21">
    <w:abstractNumId w:val="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2">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1">
    <w:name w:val="TOC Heading"/>
    <w:uiPriority w:val="39"/>
    <w:unhideWhenUsed/>
  </w:style>
  <w:style w:type="paragraph" w:styleId="722" w:default="1">
    <w:name w:val="Normal"/>
    <w:qFormat/>
    <w:rPr>
      <w:sz w:val="21"/>
      <w:szCs w:val="24"/>
    </w:rPr>
  </w:style>
  <w:style w:type="paragraph" w:styleId="723">
    <w:name w:val="Heading 1"/>
    <w:basedOn w:val="722"/>
    <w:next w:val="722"/>
    <w:link w:val="857"/>
    <w:uiPriority w:val="9"/>
    <w:qFormat/>
    <w:pPr>
      <w:keepLines/>
      <w:keepNext/>
      <w:spacing w:before="480" w:after="200"/>
      <w:outlineLvl w:val="0"/>
    </w:pPr>
    <w:rPr>
      <w:rFonts w:ascii="Arial" w:hAnsi="Arial" w:eastAsia="Arial"/>
      <w:sz w:val="40"/>
      <w:szCs w:val="40"/>
    </w:rPr>
  </w:style>
  <w:style w:type="paragraph" w:styleId="724">
    <w:name w:val="Heading 2"/>
    <w:basedOn w:val="722"/>
    <w:next w:val="722"/>
    <w:link w:val="987"/>
    <w:uiPriority w:val="9"/>
    <w:qFormat/>
    <w:pPr>
      <w:keepLines/>
      <w:keepNext/>
      <w:spacing w:before="360" w:after="200"/>
      <w:outlineLvl w:val="1"/>
    </w:pPr>
    <w:rPr>
      <w:rFonts w:ascii="Arial" w:hAnsi="Arial" w:eastAsia="Arial"/>
      <w:sz w:val="34"/>
      <w:szCs w:val="20"/>
    </w:rPr>
  </w:style>
  <w:style w:type="paragraph" w:styleId="725">
    <w:name w:val="Heading 3"/>
    <w:basedOn w:val="722"/>
    <w:next w:val="722"/>
    <w:link w:val="961"/>
    <w:qFormat/>
    <w:pPr>
      <w:keepLines/>
      <w:keepNext/>
      <w:spacing w:before="320" w:after="200"/>
      <w:outlineLvl w:val="2"/>
    </w:pPr>
    <w:rPr>
      <w:rFonts w:ascii="Arial" w:hAnsi="Arial" w:eastAsia="Arial"/>
      <w:sz w:val="30"/>
      <w:szCs w:val="30"/>
    </w:rPr>
  </w:style>
  <w:style w:type="paragraph" w:styleId="726">
    <w:name w:val="Heading 4"/>
    <w:basedOn w:val="722"/>
    <w:next w:val="722"/>
    <w:link w:val="900"/>
    <w:uiPriority w:val="9"/>
    <w:qFormat/>
    <w:pPr>
      <w:keepLines/>
      <w:keepNext/>
      <w:spacing w:before="320" w:after="200"/>
      <w:outlineLvl w:val="3"/>
    </w:pPr>
    <w:rPr>
      <w:rFonts w:ascii="Arial" w:hAnsi="Arial" w:eastAsia="Arial"/>
      <w:b/>
      <w:bCs/>
      <w:sz w:val="26"/>
      <w:szCs w:val="26"/>
    </w:rPr>
  </w:style>
  <w:style w:type="paragraph" w:styleId="727">
    <w:name w:val="Heading 5"/>
    <w:basedOn w:val="722"/>
    <w:next w:val="722"/>
    <w:link w:val="897"/>
    <w:uiPriority w:val="9"/>
    <w:qFormat/>
    <w:pPr>
      <w:keepLines/>
      <w:keepNext/>
      <w:spacing w:before="320" w:after="200"/>
      <w:outlineLvl w:val="4"/>
    </w:pPr>
    <w:rPr>
      <w:rFonts w:ascii="Arial" w:hAnsi="Arial" w:eastAsia="Arial"/>
      <w:b/>
      <w:bCs/>
      <w:sz w:val="24"/>
    </w:rPr>
  </w:style>
  <w:style w:type="paragraph" w:styleId="728">
    <w:name w:val="Heading 6"/>
    <w:basedOn w:val="722"/>
    <w:next w:val="722"/>
    <w:link w:val="862"/>
    <w:uiPriority w:val="9"/>
    <w:qFormat/>
    <w:pPr>
      <w:keepLines/>
      <w:keepNext/>
      <w:spacing w:before="320" w:after="200"/>
      <w:outlineLvl w:val="5"/>
    </w:pPr>
    <w:rPr>
      <w:rFonts w:ascii="Arial" w:hAnsi="Arial" w:eastAsia="Arial"/>
      <w:b/>
      <w:bCs/>
      <w:sz w:val="22"/>
      <w:szCs w:val="22"/>
    </w:rPr>
  </w:style>
  <w:style w:type="paragraph" w:styleId="729">
    <w:name w:val="Heading 7"/>
    <w:basedOn w:val="722"/>
    <w:next w:val="722"/>
    <w:link w:val="981"/>
    <w:uiPriority w:val="9"/>
    <w:qFormat/>
    <w:pPr>
      <w:keepLines/>
      <w:keepNext/>
      <w:spacing w:before="320" w:after="200"/>
      <w:outlineLvl w:val="6"/>
    </w:pPr>
    <w:rPr>
      <w:rFonts w:ascii="Arial" w:hAnsi="Arial" w:eastAsia="Arial"/>
      <w:b/>
      <w:bCs/>
      <w:i/>
      <w:iCs/>
      <w:sz w:val="22"/>
      <w:szCs w:val="22"/>
    </w:rPr>
  </w:style>
  <w:style w:type="paragraph" w:styleId="730">
    <w:name w:val="Heading 8"/>
    <w:basedOn w:val="722"/>
    <w:next w:val="722"/>
    <w:link w:val="989"/>
    <w:uiPriority w:val="9"/>
    <w:qFormat/>
    <w:pPr>
      <w:keepLines/>
      <w:keepNext/>
      <w:spacing w:before="320" w:after="200"/>
      <w:outlineLvl w:val="7"/>
    </w:pPr>
    <w:rPr>
      <w:rFonts w:ascii="Arial" w:hAnsi="Arial" w:eastAsia="Arial"/>
      <w:i/>
      <w:iCs/>
      <w:sz w:val="22"/>
      <w:szCs w:val="22"/>
    </w:rPr>
  </w:style>
  <w:style w:type="paragraph" w:styleId="731">
    <w:name w:val="Heading 9"/>
    <w:basedOn w:val="722"/>
    <w:next w:val="722"/>
    <w:link w:val="991"/>
    <w:uiPriority w:val="9"/>
    <w:qFormat/>
    <w:pPr>
      <w:keepLines/>
      <w:keepNext/>
      <w:spacing w:before="320" w:after="200"/>
      <w:outlineLvl w:val="8"/>
    </w:pPr>
    <w:rPr>
      <w:rFonts w:ascii="Arial" w:hAnsi="Arial" w:eastAsia="Arial"/>
      <w:i/>
      <w:iCs/>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name w:val="List 3"/>
    <w:basedOn w:val="722"/>
    <w:qFormat/>
    <w:pPr>
      <w:contextualSpacing/>
      <w:ind w:left="100" w:hanging="200"/>
    </w:pPr>
    <w:rPr>
      <w:rFonts w:eastAsia="楷体_GB2312"/>
      <w:sz w:val="28"/>
      <w:szCs w:val="20"/>
    </w:rPr>
  </w:style>
  <w:style w:type="paragraph" w:styleId="736">
    <w:name w:val="toc 7"/>
    <w:basedOn w:val="722"/>
    <w:next w:val="722"/>
    <w:uiPriority w:val="39"/>
    <w:unhideWhenUsed/>
    <w:qFormat/>
    <w:pPr>
      <w:ind w:left="1701"/>
      <w:spacing w:after="57"/>
    </w:pPr>
  </w:style>
  <w:style w:type="paragraph" w:styleId="737">
    <w:name w:val="Note Heading"/>
    <w:basedOn w:val="722"/>
    <w:next w:val="722"/>
    <w:link w:val="953"/>
    <w:uiPriority w:val="99"/>
    <w:qFormat/>
    <w:pPr>
      <w:ind w:firstLine="1360"/>
      <w:jc w:val="center"/>
    </w:pPr>
    <w:rPr>
      <w:rFonts w:ascii="仿宋_GB2312" w:hAnsi="仿宋_GB2312" w:eastAsia="仿宋_GB2312"/>
      <w:sz w:val="32"/>
      <w:szCs w:val="22"/>
    </w:rPr>
  </w:style>
  <w:style w:type="paragraph" w:styleId="738">
    <w:name w:val="index 8"/>
    <w:basedOn w:val="722"/>
    <w:next w:val="722"/>
    <w:qFormat/>
    <w:pPr>
      <w:ind w:left="2940"/>
    </w:pPr>
    <w:rPr>
      <w:rFonts w:eastAsia="楷体_GB2312"/>
      <w:sz w:val="28"/>
      <w:szCs w:val="20"/>
    </w:rPr>
  </w:style>
  <w:style w:type="paragraph" w:styleId="739">
    <w:name w:val="Normal Indent"/>
    <w:basedOn w:val="722"/>
    <w:next w:val="722"/>
    <w:link w:val="990"/>
    <w:qFormat/>
    <w:pPr>
      <w:ind w:firstLine="420"/>
    </w:pPr>
    <w:rPr>
      <w:rFonts w:eastAsia="楷体_GB2312"/>
      <w:sz w:val="24"/>
      <w:szCs w:val="20"/>
    </w:rPr>
  </w:style>
  <w:style w:type="paragraph" w:styleId="740">
    <w:name w:val="Caption"/>
    <w:basedOn w:val="722"/>
    <w:next w:val="722"/>
    <w:link w:val="924"/>
    <w:qFormat/>
    <w:pPr>
      <w:spacing w:line="276" w:lineRule="auto"/>
    </w:pPr>
    <w:rPr>
      <w:b/>
      <w:bCs/>
      <w:color w:val="4f81bd"/>
      <w:sz w:val="18"/>
      <w:szCs w:val="18"/>
    </w:rPr>
  </w:style>
  <w:style w:type="paragraph" w:styleId="741">
    <w:name w:val="index 5"/>
    <w:basedOn w:val="722"/>
    <w:next w:val="722"/>
    <w:qFormat/>
    <w:pPr>
      <w:ind w:left="1680"/>
    </w:pPr>
    <w:rPr>
      <w:rFonts w:eastAsia="楷体_GB2312"/>
      <w:sz w:val="28"/>
      <w:szCs w:val="20"/>
    </w:rPr>
  </w:style>
  <w:style w:type="paragraph" w:styleId="742">
    <w:name w:val="Document Map"/>
    <w:basedOn w:val="722"/>
    <w:link w:val="894"/>
    <w:qFormat/>
    <w:pPr>
      <w:shd w:val="clear" w:color="auto" w:fill="000080"/>
    </w:pPr>
    <w:rPr>
      <w:rFonts w:eastAsia="楷体_GB2312"/>
      <w:sz w:val="28"/>
      <w:szCs w:val="20"/>
    </w:rPr>
  </w:style>
  <w:style w:type="paragraph" w:styleId="743">
    <w:name w:val="annotation text"/>
    <w:basedOn w:val="722"/>
    <w:link w:val="859"/>
    <w:uiPriority w:val="99"/>
    <w:qFormat/>
    <w:rPr>
      <w:sz w:val="20"/>
      <w:szCs w:val="20"/>
      <w:lang w:val="en-GB"/>
    </w:rPr>
  </w:style>
  <w:style w:type="paragraph" w:styleId="744">
    <w:name w:val="index 6"/>
    <w:basedOn w:val="722"/>
    <w:next w:val="722"/>
    <w:qFormat/>
    <w:pPr>
      <w:ind w:left="2100"/>
    </w:pPr>
    <w:rPr>
      <w:rFonts w:eastAsia="楷体_GB2312"/>
      <w:sz w:val="28"/>
      <w:szCs w:val="20"/>
    </w:rPr>
  </w:style>
  <w:style w:type="paragraph" w:styleId="745">
    <w:name w:val="Body Text"/>
    <w:basedOn w:val="722"/>
    <w:next w:val="739"/>
    <w:link w:val="960"/>
    <w:uiPriority w:val="1"/>
    <w:qFormat/>
    <w:pPr>
      <w:spacing w:line="360" w:lineRule="auto"/>
    </w:pPr>
    <w:rPr>
      <w:rFonts w:ascii="宋体" w:hAnsi="宋体"/>
      <w:szCs w:val="21"/>
    </w:rPr>
  </w:style>
  <w:style w:type="paragraph" w:styleId="746">
    <w:name w:val="Body Text Indent"/>
    <w:basedOn w:val="722"/>
    <w:next w:val="722"/>
    <w:link w:val="909"/>
    <w:qFormat/>
    <w:pPr>
      <w:ind w:firstLine="570"/>
    </w:pPr>
    <w:rPr>
      <w:rFonts w:ascii="宋体"/>
      <w:sz w:val="28"/>
      <w:szCs w:val="20"/>
    </w:rPr>
  </w:style>
  <w:style w:type="paragraph" w:styleId="747">
    <w:name w:val="Block Text"/>
    <w:basedOn w:val="722"/>
    <w:qFormat/>
    <w:pPr>
      <w:ind w:left="630" w:right="-609" w:firstLine="420"/>
      <w:spacing w:line="360" w:lineRule="auto"/>
    </w:pPr>
    <w:rPr>
      <w:rFonts w:hint="eastAsia" w:ascii="仿宋_GB2312" w:eastAsia="仿宋_GB2312"/>
      <w:szCs w:val="20"/>
    </w:rPr>
  </w:style>
  <w:style w:type="paragraph" w:styleId="748">
    <w:name w:val="index 4"/>
    <w:basedOn w:val="722"/>
    <w:next w:val="722"/>
    <w:qFormat/>
    <w:pPr>
      <w:ind w:left="1260"/>
    </w:pPr>
    <w:rPr>
      <w:rFonts w:eastAsia="楷体_GB2312"/>
      <w:sz w:val="28"/>
      <w:szCs w:val="20"/>
    </w:rPr>
  </w:style>
  <w:style w:type="paragraph" w:styleId="749">
    <w:name w:val="toc 5"/>
    <w:basedOn w:val="722"/>
    <w:next w:val="722"/>
    <w:uiPriority w:val="39"/>
    <w:unhideWhenUsed/>
    <w:qFormat/>
    <w:pPr>
      <w:ind w:left="1134"/>
      <w:spacing w:after="57"/>
    </w:pPr>
  </w:style>
  <w:style w:type="paragraph" w:styleId="750">
    <w:name w:val="toc 3"/>
    <w:basedOn w:val="722"/>
    <w:next w:val="722"/>
    <w:uiPriority w:val="39"/>
    <w:unhideWhenUsed/>
    <w:qFormat/>
    <w:pPr>
      <w:ind w:left="567"/>
      <w:spacing w:after="57"/>
    </w:pPr>
  </w:style>
  <w:style w:type="paragraph" w:styleId="751">
    <w:name w:val="Plain Text"/>
    <w:basedOn w:val="722"/>
    <w:link w:val="852"/>
    <w:qFormat/>
    <w:rPr>
      <w:rFonts w:ascii="宋体" w:hAnsi="Courier New" w:eastAsia="楷体_GB2312"/>
      <w:sz w:val="28"/>
      <w:szCs w:val="20"/>
    </w:rPr>
  </w:style>
  <w:style w:type="paragraph" w:styleId="752">
    <w:name w:val="toc 8"/>
    <w:basedOn w:val="722"/>
    <w:next w:val="722"/>
    <w:uiPriority w:val="39"/>
    <w:unhideWhenUsed/>
    <w:qFormat/>
    <w:pPr>
      <w:ind w:left="1984"/>
      <w:spacing w:after="57"/>
    </w:pPr>
  </w:style>
  <w:style w:type="paragraph" w:styleId="753">
    <w:name w:val="index 3"/>
    <w:basedOn w:val="722"/>
    <w:next w:val="722"/>
    <w:qFormat/>
    <w:pPr>
      <w:ind w:left="840"/>
    </w:pPr>
    <w:rPr>
      <w:rFonts w:eastAsia="楷体_GB2312"/>
      <w:sz w:val="28"/>
      <w:szCs w:val="20"/>
    </w:rPr>
  </w:style>
  <w:style w:type="paragraph" w:styleId="754">
    <w:name w:val="Date"/>
    <w:basedOn w:val="722"/>
    <w:next w:val="722"/>
    <w:link w:val="966"/>
    <w:qFormat/>
    <w:rPr>
      <w:rFonts w:ascii="宋体" w:hAnsi="宋体" w:eastAsia="楷体_GB2312"/>
      <w:sz w:val="24"/>
      <w:szCs w:val="20"/>
    </w:rPr>
  </w:style>
  <w:style w:type="paragraph" w:styleId="755">
    <w:name w:val="Body Text Indent 2"/>
    <w:basedOn w:val="722"/>
    <w:link w:val="938"/>
    <w:qFormat/>
    <w:pPr>
      <w:ind w:left="420"/>
      <w:spacing w:after="120" w:line="480" w:lineRule="auto"/>
    </w:pPr>
    <w:rPr>
      <w:rFonts w:eastAsia="楷体_GB2312"/>
      <w:sz w:val="28"/>
      <w:szCs w:val="20"/>
    </w:rPr>
  </w:style>
  <w:style w:type="paragraph" w:styleId="756">
    <w:name w:val="endnote text"/>
    <w:basedOn w:val="722"/>
    <w:link w:val="906"/>
    <w:uiPriority w:val="99"/>
    <w:unhideWhenUsed/>
    <w:qFormat/>
    <w:rPr>
      <w:sz w:val="20"/>
      <w:szCs w:val="20"/>
    </w:rPr>
  </w:style>
  <w:style w:type="paragraph" w:styleId="757">
    <w:name w:val="Balloon Text"/>
    <w:basedOn w:val="722"/>
    <w:link w:val="978"/>
    <w:qFormat/>
    <w:rPr>
      <w:rFonts w:eastAsia="楷体_GB2312"/>
      <w:sz w:val="16"/>
      <w:szCs w:val="16"/>
    </w:rPr>
  </w:style>
  <w:style w:type="paragraph" w:styleId="758">
    <w:name w:val="Footer"/>
    <w:basedOn w:val="722"/>
    <w:link w:val="870"/>
    <w:unhideWhenUsed/>
    <w:qFormat/>
    <w:pPr>
      <w:tabs>
        <w:tab w:val="center" w:pos="7143" w:leader="none"/>
        <w:tab w:val="right" w:pos="14287" w:leader="none"/>
      </w:tabs>
    </w:pPr>
  </w:style>
  <w:style w:type="paragraph" w:styleId="759">
    <w:name w:val="envelope return"/>
    <w:basedOn w:val="722"/>
    <w:qFormat/>
    <w:rPr>
      <w:rFonts w:ascii="Arial" w:hAnsi="Arial"/>
    </w:rPr>
  </w:style>
  <w:style w:type="paragraph" w:styleId="760">
    <w:name w:val="Header"/>
    <w:basedOn w:val="722"/>
    <w:link w:val="918"/>
    <w:unhideWhenUsed/>
    <w:qFormat/>
    <w:pPr>
      <w:tabs>
        <w:tab w:val="center" w:pos="7143" w:leader="none"/>
        <w:tab w:val="right" w:pos="14287" w:leader="none"/>
      </w:tabs>
    </w:pPr>
  </w:style>
  <w:style w:type="paragraph" w:styleId="761">
    <w:name w:val="toc 1"/>
    <w:basedOn w:val="722"/>
    <w:next w:val="722"/>
    <w:unhideWhenUsed/>
    <w:qFormat/>
    <w:pPr>
      <w:spacing w:after="57"/>
    </w:pPr>
  </w:style>
  <w:style w:type="paragraph" w:styleId="762">
    <w:name w:val="toc 4"/>
    <w:basedOn w:val="722"/>
    <w:next w:val="722"/>
    <w:uiPriority w:val="39"/>
    <w:unhideWhenUsed/>
    <w:qFormat/>
    <w:pPr>
      <w:ind w:left="850"/>
      <w:spacing w:after="57"/>
    </w:pPr>
  </w:style>
  <w:style w:type="paragraph" w:styleId="763">
    <w:name w:val="index heading"/>
    <w:basedOn w:val="722"/>
    <w:next w:val="764"/>
    <w:qFormat/>
    <w:rPr>
      <w:rFonts w:eastAsia="楷体_GB2312"/>
      <w:sz w:val="28"/>
      <w:szCs w:val="20"/>
    </w:rPr>
  </w:style>
  <w:style w:type="paragraph" w:styleId="764">
    <w:name w:val="index 1"/>
    <w:basedOn w:val="722"/>
    <w:next w:val="722"/>
    <w:unhideWhenUsed/>
    <w:qFormat/>
    <w:rPr>
      <w:rFonts w:eastAsia="楷体_GB2312"/>
      <w:sz w:val="28"/>
      <w:szCs w:val="20"/>
    </w:rPr>
  </w:style>
  <w:style w:type="paragraph" w:styleId="765">
    <w:name w:val="Subtitle"/>
    <w:basedOn w:val="722"/>
    <w:next w:val="722"/>
    <w:link w:val="1007"/>
    <w:uiPriority w:val="11"/>
    <w:qFormat/>
    <w:pPr>
      <w:spacing w:before="200" w:after="200"/>
    </w:pPr>
    <w:rPr>
      <w:sz w:val="24"/>
    </w:rPr>
  </w:style>
  <w:style w:type="paragraph" w:styleId="766">
    <w:name w:val="footnote text"/>
    <w:basedOn w:val="722"/>
    <w:link w:val="911"/>
    <w:uiPriority w:val="99"/>
    <w:unhideWhenUsed/>
    <w:qFormat/>
    <w:pPr>
      <w:spacing w:after="40"/>
    </w:pPr>
    <w:rPr>
      <w:sz w:val="18"/>
      <w:szCs w:val="20"/>
    </w:rPr>
  </w:style>
  <w:style w:type="paragraph" w:styleId="767">
    <w:name w:val="toc 6"/>
    <w:basedOn w:val="722"/>
    <w:next w:val="722"/>
    <w:uiPriority w:val="39"/>
    <w:unhideWhenUsed/>
    <w:qFormat/>
    <w:pPr>
      <w:ind w:left="1417"/>
      <w:spacing w:after="57"/>
    </w:pPr>
  </w:style>
  <w:style w:type="paragraph" w:styleId="768">
    <w:name w:val="Body Text Indent 3"/>
    <w:basedOn w:val="722"/>
    <w:link w:val="899"/>
    <w:qFormat/>
    <w:pPr>
      <w:ind w:left="420"/>
      <w:spacing w:after="120"/>
    </w:pPr>
    <w:rPr>
      <w:sz w:val="16"/>
      <w:szCs w:val="16"/>
    </w:rPr>
  </w:style>
  <w:style w:type="paragraph" w:styleId="769">
    <w:name w:val="index 7"/>
    <w:basedOn w:val="722"/>
    <w:next w:val="722"/>
    <w:qFormat/>
    <w:pPr>
      <w:ind w:left="2520"/>
    </w:pPr>
    <w:rPr>
      <w:rFonts w:eastAsia="楷体_GB2312"/>
      <w:sz w:val="28"/>
      <w:szCs w:val="20"/>
    </w:rPr>
  </w:style>
  <w:style w:type="paragraph" w:styleId="770">
    <w:name w:val="index 9"/>
    <w:basedOn w:val="722"/>
    <w:next w:val="722"/>
    <w:qFormat/>
    <w:pPr>
      <w:ind w:left="3360"/>
    </w:pPr>
    <w:rPr>
      <w:rFonts w:eastAsia="楷体_GB2312"/>
      <w:sz w:val="28"/>
      <w:szCs w:val="20"/>
    </w:rPr>
  </w:style>
  <w:style w:type="paragraph" w:styleId="771">
    <w:name w:val="table of figures"/>
    <w:basedOn w:val="722"/>
    <w:next w:val="722"/>
    <w:unhideWhenUsed/>
    <w:qFormat/>
  </w:style>
  <w:style w:type="paragraph" w:styleId="772">
    <w:name w:val="toc 2"/>
    <w:basedOn w:val="722"/>
    <w:next w:val="722"/>
    <w:uiPriority w:val="39"/>
    <w:unhideWhenUsed/>
    <w:qFormat/>
    <w:pPr>
      <w:ind w:left="283"/>
      <w:spacing w:after="57"/>
    </w:pPr>
  </w:style>
  <w:style w:type="paragraph" w:styleId="773">
    <w:name w:val="toc 9"/>
    <w:basedOn w:val="722"/>
    <w:next w:val="722"/>
    <w:uiPriority w:val="39"/>
    <w:unhideWhenUsed/>
    <w:qFormat/>
    <w:pPr>
      <w:ind w:left="2268"/>
      <w:spacing w:after="57"/>
    </w:pPr>
  </w:style>
  <w:style w:type="paragraph" w:styleId="774">
    <w:name w:val="Body Text 2"/>
    <w:basedOn w:val="722"/>
    <w:link w:val="910"/>
    <w:qFormat/>
    <w:pPr>
      <w:spacing w:after="120" w:line="480" w:lineRule="auto"/>
    </w:pPr>
    <w:rPr>
      <w:rFonts w:eastAsia="楷体_GB2312"/>
      <w:sz w:val="28"/>
      <w:szCs w:val="20"/>
    </w:rPr>
  </w:style>
  <w:style w:type="paragraph" w:styleId="775">
    <w:name w:val="Normal (Web)"/>
    <w:basedOn w:val="722"/>
    <w:uiPriority w:val="99"/>
    <w:qFormat/>
    <w:pPr>
      <w:spacing w:before="100" w:after="100"/>
    </w:pPr>
    <w:rPr>
      <w:rFonts w:ascii="宋体" w:hAnsi="宋体"/>
      <w:color w:val="000000"/>
      <w:sz w:val="24"/>
      <w:szCs w:val="20"/>
    </w:rPr>
  </w:style>
  <w:style w:type="paragraph" w:styleId="776">
    <w:name w:val="index 2"/>
    <w:basedOn w:val="722"/>
    <w:next w:val="722"/>
    <w:qFormat/>
    <w:pPr>
      <w:ind w:left="420"/>
    </w:pPr>
    <w:rPr>
      <w:rFonts w:eastAsia="楷体_GB2312"/>
      <w:sz w:val="28"/>
      <w:szCs w:val="20"/>
    </w:rPr>
  </w:style>
  <w:style w:type="paragraph" w:styleId="777">
    <w:name w:val="Title"/>
    <w:basedOn w:val="722"/>
    <w:next w:val="722"/>
    <w:link w:val="927"/>
    <w:qFormat/>
    <w:pPr>
      <w:contextualSpacing/>
      <w:spacing w:before="300" w:after="200"/>
    </w:pPr>
    <w:rPr>
      <w:sz w:val="48"/>
      <w:szCs w:val="48"/>
    </w:rPr>
  </w:style>
  <w:style w:type="paragraph" w:styleId="778">
    <w:name w:val="annotation subject"/>
    <w:basedOn w:val="743"/>
    <w:next w:val="743"/>
    <w:link w:val="913"/>
    <w:uiPriority w:val="99"/>
    <w:qFormat/>
    <w:pPr>
      <w:widowControl w:val="off"/>
    </w:pPr>
    <w:rPr>
      <w:rFonts w:eastAsia="楷体_GB2312"/>
      <w:b/>
      <w:bCs/>
      <w:sz w:val="28"/>
    </w:rPr>
  </w:style>
  <w:style w:type="paragraph" w:styleId="779">
    <w:name w:val="Body Text First Indent 2"/>
    <w:basedOn w:val="746"/>
    <w:link w:val="1282"/>
    <w:uiPriority w:val="99"/>
    <w:unhideWhenUsed/>
    <w:qFormat/>
    <w:pPr>
      <w:ind w:left="420" w:firstLine="420"/>
      <w:spacing w:after="120"/>
    </w:pPr>
    <w:rPr>
      <w:rFonts w:ascii="Times New Roman"/>
      <w:sz w:val="21"/>
      <w:szCs w:val="24"/>
    </w:rPr>
  </w:style>
  <w:style w:type="table" w:styleId="780">
    <w:name w:val="Table Grid"/>
    <w:uiPriority w:val="59"/>
    <w:qFormat/>
    <w:pPr>
      <w:spacing w:after="160" w:line="278" w:lineRule="auto"/>
    </w:pPr>
    <w:tblPr>
      <w:tblCellMar>
        <w:left w:w="0" w:type="dxa"/>
        <w:top w:w="0" w:type="dxa"/>
        <w:right w:w="0" w:type="dxa"/>
        <w:bottom w:w="0" w:type="dxa"/>
      </w:tblCellMar>
    </w:tblPr>
  </w:style>
  <w:style w:type="table" w:styleId="781">
    <w:name w:val="Table Elegant"/>
    <w:basedOn w:val="733"/>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StylePr>
  </w:style>
  <w:style w:type="character" w:styleId="782">
    <w:name w:val="Strong"/>
    <w:qFormat/>
    <w:rPr>
      <w:b/>
      <w:bCs/>
    </w:rPr>
  </w:style>
  <w:style w:type="character" w:styleId="783">
    <w:name w:val="endnote reference"/>
    <w:uiPriority w:val="99"/>
    <w:unhideWhenUsed/>
    <w:qFormat/>
    <w:rPr>
      <w:vertAlign w:val="superscript"/>
    </w:rPr>
  </w:style>
  <w:style w:type="character" w:styleId="784">
    <w:name w:val="page number"/>
    <w:qFormat/>
  </w:style>
  <w:style w:type="character" w:styleId="785">
    <w:name w:val="FollowedHyperlink"/>
    <w:uiPriority w:val="99"/>
    <w:unhideWhenUsed/>
    <w:qFormat/>
    <w:rPr>
      <w:color w:val="954f72"/>
      <w:u w:val="single"/>
    </w:rPr>
  </w:style>
  <w:style w:type="character" w:styleId="786">
    <w:name w:val="Emphasis"/>
    <w:qFormat/>
    <w:rPr>
      <w:color w:val="cc0000"/>
    </w:rPr>
  </w:style>
  <w:style w:type="character" w:styleId="787">
    <w:name w:val="HTML Typewriter"/>
    <w:qFormat/>
    <w:rPr>
      <w:rFonts w:ascii="黑体" w:hAnsi="Courier New" w:eastAsia="黑体"/>
      <w:sz w:val="14"/>
    </w:rPr>
  </w:style>
  <w:style w:type="character" w:styleId="788">
    <w:name w:val="Hyperlink"/>
    <w:uiPriority w:val="99"/>
    <w:unhideWhenUsed/>
    <w:qFormat/>
    <w:rPr>
      <w:color w:val="0000ff"/>
      <w:u w:val="single"/>
    </w:rPr>
  </w:style>
  <w:style w:type="character" w:styleId="789">
    <w:name w:val="annotation reference"/>
    <w:uiPriority w:val="99"/>
    <w:qFormat/>
    <w:rPr>
      <w:sz w:val="21"/>
      <w:szCs w:val="21"/>
    </w:rPr>
  </w:style>
  <w:style w:type="character" w:styleId="790">
    <w:name w:val="footnote reference"/>
    <w:unhideWhenUsed/>
    <w:qFormat/>
    <w:rPr>
      <w:vertAlign w:val="superscript"/>
    </w:rPr>
  </w:style>
  <w:style w:type="character" w:styleId="791" w:customStyle="1">
    <w:name w:val="Heading 1 Char"/>
    <w:uiPriority w:val="9"/>
    <w:qFormat/>
    <w:rPr>
      <w:rFonts w:ascii="Arial" w:hAnsi="Arial" w:eastAsia="Arial" w:cs="Arial"/>
      <w:sz w:val="40"/>
      <w:szCs w:val="40"/>
    </w:rPr>
  </w:style>
  <w:style w:type="character" w:styleId="792" w:customStyle="1">
    <w:name w:val="Heading 2 Char"/>
    <w:uiPriority w:val="9"/>
    <w:qFormat/>
    <w:rPr>
      <w:rFonts w:ascii="Arial" w:hAnsi="Arial" w:eastAsia="Arial" w:cs="Arial"/>
      <w:sz w:val="34"/>
    </w:rPr>
  </w:style>
  <w:style w:type="character" w:styleId="793" w:customStyle="1">
    <w:name w:val="Heading 3 Char"/>
    <w:uiPriority w:val="9"/>
    <w:qFormat/>
    <w:rPr>
      <w:rFonts w:ascii="Arial" w:hAnsi="Arial" w:eastAsia="Arial" w:cs="Arial"/>
      <w:sz w:val="30"/>
      <w:szCs w:val="30"/>
    </w:rPr>
  </w:style>
  <w:style w:type="character" w:styleId="794" w:customStyle="1">
    <w:name w:val="Heading 4 Char"/>
    <w:uiPriority w:val="9"/>
    <w:qFormat/>
    <w:rPr>
      <w:rFonts w:ascii="Arial" w:hAnsi="Arial" w:eastAsia="Arial" w:cs="Arial"/>
      <w:b/>
      <w:bCs/>
      <w:sz w:val="26"/>
      <w:szCs w:val="26"/>
    </w:rPr>
  </w:style>
  <w:style w:type="character" w:styleId="795" w:customStyle="1">
    <w:name w:val="Heading 5 Char"/>
    <w:uiPriority w:val="9"/>
    <w:qFormat/>
    <w:rPr>
      <w:rFonts w:ascii="Arial" w:hAnsi="Arial" w:eastAsia="Arial" w:cs="Arial"/>
      <w:b/>
      <w:bCs/>
      <w:sz w:val="24"/>
      <w:szCs w:val="24"/>
    </w:rPr>
  </w:style>
  <w:style w:type="character" w:styleId="796" w:customStyle="1">
    <w:name w:val="Heading 6 Char"/>
    <w:uiPriority w:val="9"/>
    <w:qFormat/>
    <w:rPr>
      <w:rFonts w:ascii="Arial" w:hAnsi="Arial" w:eastAsia="Arial" w:cs="Arial"/>
      <w:b/>
      <w:bCs/>
      <w:sz w:val="22"/>
      <w:szCs w:val="22"/>
    </w:rPr>
  </w:style>
  <w:style w:type="character" w:styleId="797" w:customStyle="1">
    <w:name w:val="Heading 7 Char"/>
    <w:uiPriority w:val="9"/>
    <w:qFormat/>
    <w:rPr>
      <w:rFonts w:ascii="Arial" w:hAnsi="Arial" w:eastAsia="Arial" w:cs="Arial"/>
      <w:b/>
      <w:bCs/>
      <w:i/>
      <w:iCs/>
      <w:sz w:val="22"/>
      <w:szCs w:val="22"/>
    </w:rPr>
  </w:style>
  <w:style w:type="character" w:styleId="798" w:customStyle="1">
    <w:name w:val="Heading 8 Char"/>
    <w:uiPriority w:val="9"/>
    <w:qFormat/>
    <w:rPr>
      <w:rFonts w:ascii="Arial" w:hAnsi="Arial" w:eastAsia="Arial" w:cs="Arial"/>
      <w:i/>
      <w:iCs/>
      <w:sz w:val="22"/>
      <w:szCs w:val="22"/>
    </w:rPr>
  </w:style>
  <w:style w:type="character" w:styleId="799" w:customStyle="1">
    <w:name w:val="Heading 9 Char"/>
    <w:uiPriority w:val="9"/>
    <w:qFormat/>
    <w:rPr>
      <w:rFonts w:ascii="Arial" w:hAnsi="Arial" w:eastAsia="Arial" w:cs="Arial"/>
      <w:i/>
      <w:iCs/>
      <w:sz w:val="21"/>
      <w:szCs w:val="21"/>
    </w:rPr>
  </w:style>
  <w:style w:type="paragraph" w:styleId="800">
    <w:name w:val="List Paragraph"/>
    <w:basedOn w:val="722"/>
    <w:link w:val="998"/>
    <w:uiPriority w:val="99"/>
    <w:qFormat/>
    <w:pPr>
      <w:contextualSpacing/>
      <w:ind w:left="720"/>
    </w:pPr>
  </w:style>
  <w:style w:type="paragraph" w:styleId="801">
    <w:name w:val="No Spacing"/>
    <w:qFormat/>
    <w:pPr>
      <w:spacing w:after="160" w:line="278" w:lineRule="auto"/>
    </w:pPr>
  </w:style>
  <w:style w:type="character" w:styleId="802" w:customStyle="1">
    <w:name w:val="Title Char"/>
    <w:uiPriority w:val="10"/>
    <w:qFormat/>
    <w:rPr>
      <w:sz w:val="48"/>
      <w:szCs w:val="48"/>
    </w:rPr>
  </w:style>
  <w:style w:type="character" w:styleId="803" w:customStyle="1">
    <w:name w:val="Subtitle Char"/>
    <w:uiPriority w:val="11"/>
    <w:qFormat/>
    <w:rPr>
      <w:sz w:val="24"/>
      <w:szCs w:val="24"/>
    </w:rPr>
  </w:style>
  <w:style w:type="paragraph" w:styleId="804">
    <w:name w:val="Quote"/>
    <w:basedOn w:val="722"/>
    <w:next w:val="722"/>
    <w:link w:val="874"/>
    <w:uiPriority w:val="29"/>
    <w:qFormat/>
    <w:pPr>
      <w:ind w:left="720" w:right="720"/>
    </w:pPr>
    <w:rPr>
      <w:i/>
      <w:sz w:val="20"/>
      <w:szCs w:val="20"/>
    </w:rPr>
  </w:style>
  <w:style w:type="character" w:styleId="805" w:customStyle="1">
    <w:name w:val="Quote Char"/>
    <w:uiPriority w:val="29"/>
    <w:qFormat/>
    <w:rPr>
      <w:i/>
    </w:rPr>
  </w:style>
  <w:style w:type="paragraph" w:styleId="806">
    <w:name w:val="Intense Quote"/>
    <w:basedOn w:val="722"/>
    <w:next w:val="722"/>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07" w:customStyle="1">
    <w:name w:val="Intense Quote Char"/>
    <w:uiPriority w:val="30"/>
    <w:qFormat/>
    <w:rPr>
      <w:i/>
    </w:rPr>
  </w:style>
  <w:style w:type="character" w:styleId="808" w:customStyle="1">
    <w:name w:val="Header Char"/>
    <w:uiPriority w:val="99"/>
    <w:qFormat/>
  </w:style>
  <w:style w:type="character" w:styleId="809" w:customStyle="1">
    <w:name w:val="Caption Char"/>
    <w:uiPriority w:val="99"/>
    <w:qFormat/>
  </w:style>
  <w:style w:type="table" w:styleId="81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2" w:customStyle="1">
    <w:name w:val="无格式表格 31"/>
    <w:uiPriority w:val="99"/>
    <w:qFormat/>
    <w:tblPr>
      <w:tblCellMar>
        <w:left w:w="0" w:type="dxa"/>
        <w:top w:w="0" w:type="dxa"/>
        <w:right w:w="0" w:type="dxa"/>
        <w:bottom w:w="0" w:type="dxa"/>
      </w:tblCellMar>
    </w:tblPr>
  </w:style>
  <w:style w:type="table" w:styleId="813" w:customStyle="1">
    <w:name w:val="无格式表格 41"/>
    <w:uiPriority w:val="99"/>
    <w:qFormat/>
    <w:tblPr>
      <w:tblCellMar>
        <w:left w:w="0" w:type="dxa"/>
        <w:top w:w="0" w:type="dxa"/>
        <w:right w:w="0" w:type="dxa"/>
        <w:bottom w:w="0" w:type="dxa"/>
      </w:tblCellMar>
    </w:tblPr>
  </w:style>
  <w:style w:type="table" w:styleId="814" w:customStyle="1">
    <w:name w:val="无格式表格 51"/>
    <w:uiPriority w:val="99"/>
    <w:qFormat/>
    <w:tblPr>
      <w:tblCellMar>
        <w:left w:w="0" w:type="dxa"/>
        <w:top w:w="0" w:type="dxa"/>
        <w:right w:w="0" w:type="dxa"/>
        <w:bottom w:w="0" w:type="dxa"/>
      </w:tblCellMar>
    </w:tblPr>
  </w:style>
  <w:style w:type="table" w:styleId="81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2" w:customStyle="1">
    <w:name w:val="清单表 1 浅色1"/>
    <w:uiPriority w:val="99"/>
    <w:qFormat/>
    <w:tblPr>
      <w:tblCellMar>
        <w:left w:w="0" w:type="dxa"/>
        <w:top w:w="0" w:type="dxa"/>
        <w:right w:w="0" w:type="dxa"/>
        <w:bottom w:w="0" w:type="dxa"/>
      </w:tblCellMar>
    </w:tblPr>
  </w:style>
  <w:style w:type="table" w:styleId="82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2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8"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
    <w:uiPriority w:val="39"/>
    <w:unhideWhenUsed/>
    <w:qFormat/>
  </w:style>
  <w:style w:type="character" w:styleId="832" w:customStyle="1">
    <w:name w:val="正文文本缩进 Char1"/>
    <w:qFormat/>
    <w:rPr>
      <w:rFonts w:ascii="Times New Roman" w:hAnsi="Times New Roman" w:eastAsia="仿宋_GB2312" w:cs="Times New Roman"/>
      <w:sz w:val="32"/>
    </w:rPr>
  </w:style>
  <w:style w:type="character" w:styleId="833" w:customStyle="1">
    <w:name w:val="批注文字 Char"/>
    <w:link w:val="834"/>
    <w:uiPriority w:val="99"/>
    <w:qFormat/>
    <w:rPr>
      <w:rFonts w:ascii="Calibri" w:hAnsi="Calibri"/>
      <w:sz w:val="21"/>
      <w:szCs w:val="24"/>
    </w:rPr>
  </w:style>
  <w:style w:type="paragraph" w:styleId="834" w:customStyle="1">
    <w:name w:val="批注文字1"/>
    <w:basedOn w:val="722"/>
    <w:link w:val="833"/>
    <w:uiPriority w:val="99"/>
    <w:unhideWhenUsed/>
    <w:qFormat/>
  </w:style>
  <w:style w:type="character" w:styleId="835" w:customStyle="1">
    <w:name w:val="页码1"/>
    <w:uiPriority w:val="99"/>
    <w:unhideWhenUsed/>
    <w:qFormat/>
    <w:rPr>
      <w:rFonts w:ascii="Times New Roman" w:hAnsi="Times New Roman" w:eastAsia="宋体" w:cs="Times New Roman"/>
      <w:sz w:val="20"/>
    </w:rPr>
  </w:style>
  <w:style w:type="character" w:styleId="836" w:customStyle="1">
    <w:name w:val="页脚 Char"/>
    <w:link w:val="837"/>
    <w:qFormat/>
    <w:rPr>
      <w:rFonts w:ascii="Calibri" w:hAnsi="Calibri" w:eastAsia="宋体" w:cs="Times New Roman"/>
    </w:rPr>
  </w:style>
  <w:style w:type="paragraph" w:styleId="837" w:customStyle="1">
    <w:name w:val="页脚1"/>
    <w:basedOn w:val="722"/>
    <w:link w:val="836"/>
    <w:unhideWhenUsed/>
    <w:qFormat/>
    <w:pPr>
      <w:ind w:firstLine="3584"/>
    </w:pPr>
    <w:rPr>
      <w:sz w:val="20"/>
      <w:szCs w:val="20"/>
    </w:rPr>
  </w:style>
  <w:style w:type="character" w:styleId="838" w:customStyle="1">
    <w:name w:val="标题 5 Char"/>
    <w:link w:val="839"/>
    <w:qFormat/>
    <w:rPr>
      <w:rFonts w:ascii="Times New Roman" w:hAnsi="Times New Roman" w:eastAsia="宋体" w:cs="Times New Roman"/>
      <w:b/>
      <w:bCs/>
      <w:sz w:val="28"/>
      <w:szCs w:val="28"/>
    </w:rPr>
  </w:style>
  <w:style w:type="paragraph" w:styleId="839" w:customStyle="1">
    <w:name w:val="标题 51"/>
    <w:basedOn w:val="722"/>
    <w:next w:val="722"/>
    <w:link w:val="838"/>
    <w:qFormat/>
    <w:pPr>
      <w:keepLines/>
      <w:keepNext/>
      <w:spacing w:before="280" w:after="290" w:line="376" w:lineRule="auto"/>
      <w:outlineLvl w:val="4"/>
    </w:pPr>
    <w:rPr>
      <w:b/>
      <w:bCs/>
      <w:sz w:val="28"/>
      <w:szCs w:val="28"/>
    </w:rPr>
  </w:style>
  <w:style w:type="character" w:styleId="840" w:customStyle="1">
    <w:name w:val="正文文本缩进 3 Char"/>
    <w:uiPriority w:val="99"/>
    <w:semiHidden/>
    <w:qFormat/>
    <w:rPr>
      <w:rFonts w:ascii="Calibri" w:hAnsi="Calibri" w:eastAsia="宋体" w:cs="Times New Roman"/>
      <w:sz w:val="16"/>
      <w:szCs w:val="16"/>
    </w:rPr>
  </w:style>
  <w:style w:type="character" w:styleId="841" w:customStyle="1">
    <w:name w:val="NormalCharacter1"/>
    <w:qFormat/>
  </w:style>
  <w:style w:type="character" w:styleId="842" w:customStyle="1">
    <w:name w:val="标题 1 Char"/>
    <w:link w:val="843"/>
    <w:qFormat/>
    <w:rPr>
      <w:rFonts w:ascii="Calibri" w:hAnsi="Calibri" w:eastAsia="宋体" w:cs="Times New Roman"/>
      <w:b/>
      <w:bCs/>
      <w:sz w:val="44"/>
      <w:szCs w:val="44"/>
    </w:rPr>
  </w:style>
  <w:style w:type="paragraph" w:styleId="843" w:customStyle="1">
    <w:name w:val="标题 11"/>
    <w:basedOn w:val="722"/>
    <w:next w:val="722"/>
    <w:link w:val="842"/>
    <w:qFormat/>
    <w:pPr>
      <w:keepLines/>
      <w:keepNext/>
      <w:spacing w:before="340" w:after="330" w:line="578" w:lineRule="auto"/>
      <w:outlineLvl w:val="0"/>
    </w:pPr>
    <w:rPr>
      <w:b/>
      <w:bCs/>
      <w:sz w:val="44"/>
      <w:szCs w:val="44"/>
    </w:rPr>
  </w:style>
  <w:style w:type="character" w:styleId="844" w:customStyle="1">
    <w:name w:val="列表段落 字符"/>
    <w:qFormat/>
    <w:rPr>
      <w:sz w:val="21"/>
      <w:szCs w:val="22"/>
    </w:rPr>
  </w:style>
  <w:style w:type="character" w:styleId="845" w:customStyle="1">
    <w:name w:val="s2"/>
    <w:basedOn w:val="846"/>
    <w:qFormat/>
  </w:style>
  <w:style w:type="character" w:styleId="846" w:customStyle="1">
    <w:name w:val="默认段落字体1"/>
    <w:uiPriority w:val="1"/>
    <w:unhideWhenUsed/>
    <w:qFormat/>
  </w:style>
  <w:style w:type="character" w:styleId="847" w:customStyle="1">
    <w:name w:val="文档结构图 字符"/>
    <w:qFormat/>
    <w:rPr>
      <w:rFonts w:ascii="Microsoft YaHei UI" w:eastAsia="Microsoft YaHei UI"/>
      <w:sz w:val="18"/>
      <w:szCs w:val="18"/>
    </w:rPr>
  </w:style>
  <w:style w:type="character" w:styleId="848" w:customStyle="1">
    <w:name w:val="Other|1_"/>
    <w:link w:val="849"/>
    <w:qFormat/>
    <w:rPr>
      <w:rFonts w:ascii="宋体" w:hAnsi="宋体" w:cs="宋体"/>
      <w:lang w:val="zh-TW" w:eastAsia="zh-TW" w:bidi="zh-TW"/>
    </w:rPr>
  </w:style>
  <w:style w:type="paragraph" w:styleId="849" w:customStyle="1">
    <w:name w:val="Other|1"/>
    <w:basedOn w:val="722"/>
    <w:link w:val="848"/>
    <w:qFormat/>
    <w:pPr>
      <w:spacing w:line="313" w:lineRule="exact"/>
    </w:pPr>
    <w:rPr>
      <w:rFonts w:ascii="宋体" w:hAnsi="宋体" w:cs="宋体"/>
      <w:sz w:val="20"/>
      <w:szCs w:val="20"/>
      <w:lang w:val="zh-TW" w:eastAsia="zh-TW" w:bidi="zh-TW"/>
    </w:rPr>
  </w:style>
  <w:style w:type="character" w:styleId="850" w:customStyle="1">
    <w:name w:val="font61"/>
    <w:qFormat/>
    <w:rPr>
      <w:rFonts w:hint="eastAsia" w:ascii="宋体" w:hAnsi="宋体" w:eastAsia="宋体" w:cs="宋体"/>
      <w:color w:val="000000"/>
      <w:sz w:val="20"/>
      <w:szCs w:val="20"/>
      <w:u w:val="single"/>
    </w:rPr>
  </w:style>
  <w:style w:type="character" w:styleId="851" w:customStyle="1">
    <w:name w:val="HTML 打字机11"/>
    <w:qFormat/>
    <w:rPr>
      <w:rFonts w:hint="eastAsia" w:ascii="黑体" w:hAnsi="Courier New" w:eastAsia="黑体"/>
      <w:sz w:val="14"/>
    </w:rPr>
  </w:style>
  <w:style w:type="character" w:styleId="852" w:customStyle="1">
    <w:name w:val="纯文本 字符"/>
    <w:link w:val="751"/>
    <w:qFormat/>
    <w:rPr>
      <w:rFonts w:ascii="宋体" w:hAnsi="Courier New" w:eastAsia="楷体_GB2312"/>
      <w:sz w:val="28"/>
    </w:rPr>
  </w:style>
  <w:style w:type="character" w:styleId="853" w:customStyle="1">
    <w:name w:val="title_emph1"/>
    <w:qFormat/>
    <w:rPr>
      <w:rFonts w:ascii="Arial" w:hAnsi="Arial" w:cs="Arial"/>
      <w:b/>
      <w:bCs/>
      <w:sz w:val="20"/>
      <w:szCs w:val="20"/>
    </w:rPr>
  </w:style>
  <w:style w:type="character" w:styleId="854" w:customStyle="1">
    <w:name w:val="日期 字符"/>
    <w:qFormat/>
    <w:rPr>
      <w:sz w:val="21"/>
      <w:szCs w:val="24"/>
    </w:rPr>
  </w:style>
  <w:style w:type="character" w:styleId="855" w:customStyle="1">
    <w:name w:val="纯文本 Char1"/>
    <w:link w:val="856"/>
    <w:qFormat/>
    <w:rPr>
      <w:rFonts w:ascii="宋体" w:hAnsi="Courier New" w:eastAsia="楷体_GB2312" w:cs="Times New Roman"/>
      <w:sz w:val="26"/>
    </w:rPr>
  </w:style>
  <w:style w:type="paragraph" w:styleId="856" w:customStyle="1">
    <w:name w:val="纯文本11"/>
    <w:basedOn w:val="722"/>
    <w:link w:val="855"/>
    <w:unhideWhenUsed/>
    <w:qFormat/>
    <w:rPr>
      <w:rFonts w:ascii="宋体" w:hAnsi="Courier New" w:eastAsia="楷体_GB2312"/>
      <w:sz w:val="26"/>
      <w:szCs w:val="20"/>
    </w:rPr>
  </w:style>
  <w:style w:type="character" w:styleId="857" w:customStyle="1">
    <w:name w:val="标题 1 字符"/>
    <w:link w:val="723"/>
    <w:uiPriority w:val="9"/>
    <w:qFormat/>
    <w:rPr>
      <w:rFonts w:ascii="Arial" w:hAnsi="Arial" w:eastAsia="Arial" w:cs="Arial"/>
      <w:sz w:val="40"/>
      <w:szCs w:val="40"/>
    </w:rPr>
  </w:style>
  <w:style w:type="character" w:styleId="858" w:customStyle="1">
    <w:name w:val="批注文字 字符"/>
    <w:uiPriority w:val="99"/>
    <w:qFormat/>
    <w:rPr>
      <w:sz w:val="21"/>
      <w:szCs w:val="24"/>
    </w:rPr>
  </w:style>
  <w:style w:type="character" w:styleId="859" w:customStyle="1">
    <w:name w:val="批注文字 字符1"/>
    <w:link w:val="743"/>
    <w:uiPriority w:val="99"/>
    <w:qFormat/>
    <w:rPr>
      <w:rFonts w:ascii="Times New Roman" w:hAnsi="Times New Roman"/>
      <w:lang w:val="en-GB"/>
    </w:rPr>
  </w:style>
  <w:style w:type="character" w:styleId="860" w:customStyle="1">
    <w:name w:val="标题 8 字符1"/>
    <w:uiPriority w:val="9"/>
    <w:qFormat/>
    <w:rPr>
      <w:rFonts w:ascii="Arial" w:hAnsi="Arial" w:eastAsia="黑体"/>
      <w:sz w:val="24"/>
    </w:rPr>
  </w:style>
  <w:style w:type="character" w:styleId="861" w:customStyle="1">
    <w:name w:val="标题 6 字符1"/>
    <w:uiPriority w:val="9"/>
    <w:qFormat/>
    <w:rPr>
      <w:rFonts w:ascii="Arial" w:hAnsi="Arial" w:eastAsia="黑体"/>
      <w:b/>
      <w:sz w:val="24"/>
    </w:rPr>
  </w:style>
  <w:style w:type="character" w:styleId="862" w:customStyle="1">
    <w:name w:val="标题 6 字符"/>
    <w:link w:val="728"/>
    <w:uiPriority w:val="9"/>
    <w:qFormat/>
    <w:rPr>
      <w:rFonts w:ascii="Arial" w:hAnsi="Arial" w:eastAsia="Arial" w:cs="Arial"/>
      <w:b/>
      <w:bCs/>
      <w:sz w:val="22"/>
      <w:szCs w:val="22"/>
    </w:rPr>
  </w:style>
  <w:style w:type="character" w:styleId="863" w:customStyle="1">
    <w:name w:val="标题 2 字符1"/>
    <w:uiPriority w:val="9"/>
    <w:qFormat/>
    <w:rPr>
      <w:rFonts w:ascii="宋体" w:hAnsi="宋体" w:eastAsia="楷体_GB2312"/>
      <w:b/>
      <w:sz w:val="28"/>
    </w:rPr>
  </w:style>
  <w:style w:type="character" w:styleId="864" w:customStyle="1">
    <w:name w:val="样式4 Char"/>
    <w:link w:val="865"/>
    <w:qFormat/>
    <w:rPr>
      <w:sz w:val="18"/>
      <w:szCs w:val="18"/>
    </w:rPr>
  </w:style>
  <w:style w:type="paragraph" w:styleId="865" w:customStyle="1">
    <w:name w:val="样式4"/>
    <w:basedOn w:val="760"/>
    <w:link w:val="864"/>
    <w:qFormat/>
    <w:pPr>
      <w:ind w:firstLine="425"/>
      <w:jc w:val="center"/>
      <w:tabs>
        <w:tab w:val="center" w:pos="4153" w:leader="none"/>
        <w:tab w:val="right" w:pos="8306" w:leader="none"/>
      </w:tabs>
    </w:pPr>
    <w:rPr>
      <w:sz w:val="18"/>
      <w:szCs w:val="18"/>
    </w:rPr>
  </w:style>
  <w:style w:type="character" w:styleId="866" w:customStyle="1">
    <w:name w:val="font112"/>
    <w:qFormat/>
    <w:rPr>
      <w:sz w:val="21"/>
      <w:szCs w:val="24"/>
      <w:lang w:val="en-US" w:eastAsia="zh-CN" w:bidi="ar-SA"/>
    </w:rPr>
  </w:style>
  <w:style w:type="character" w:styleId="867" w:customStyle="1">
    <w:name w:val="Header or footer|2_"/>
    <w:link w:val="868"/>
    <w:qFormat/>
    <w:rPr>
      <w:lang w:val="zh-CN" w:bidi="zh-CN"/>
    </w:rPr>
  </w:style>
  <w:style w:type="paragraph" w:styleId="868" w:customStyle="1">
    <w:name w:val="Header or footer|2"/>
    <w:basedOn w:val="722"/>
    <w:link w:val="867"/>
    <w:qFormat/>
    <w:rPr>
      <w:sz w:val="20"/>
      <w:szCs w:val="20"/>
      <w:lang w:val="zh-CN" w:bidi="zh-CN"/>
    </w:rPr>
  </w:style>
  <w:style w:type="character" w:styleId="869" w:customStyle="1">
    <w:name w:val="标题 5 字符1"/>
    <w:uiPriority w:val="9"/>
    <w:qFormat/>
    <w:rPr>
      <w:b/>
      <w:bCs/>
      <w:sz w:val="28"/>
      <w:szCs w:val="28"/>
    </w:rPr>
  </w:style>
  <w:style w:type="character" w:styleId="870" w:customStyle="1">
    <w:name w:val="页脚 字符"/>
    <w:link w:val="758"/>
    <w:uiPriority w:val="99"/>
    <w:qFormat/>
  </w:style>
  <w:style w:type="character" w:styleId="871" w:customStyle="1">
    <w:name w:val="页脚 字符2"/>
    <w:uiPriority w:val="99"/>
    <w:semiHidden/>
    <w:qFormat/>
    <w:rPr>
      <w:rFonts w:ascii="Calibri" w:hAnsi="Calibri" w:eastAsia="宋体" w:cs="Times New Roman"/>
      <w:sz w:val="18"/>
      <w:szCs w:val="18"/>
    </w:rPr>
  </w:style>
  <w:style w:type="character" w:styleId="872" w:customStyle="1">
    <w:name w:val="列出段落 Char"/>
    <w:link w:val="873"/>
    <w:qFormat/>
    <w:rPr>
      <w:rFonts w:cs="Calibri"/>
      <w:sz w:val="21"/>
      <w:szCs w:val="22"/>
    </w:rPr>
  </w:style>
  <w:style w:type="paragraph" w:styleId="873" w:customStyle="1">
    <w:name w:val="msolistparagraph"/>
    <w:basedOn w:val="722"/>
    <w:link w:val="872"/>
    <w:qFormat/>
    <w:pPr>
      <w:ind w:firstLine="420"/>
    </w:pPr>
    <w:rPr>
      <w:szCs w:val="22"/>
    </w:rPr>
  </w:style>
  <w:style w:type="character" w:styleId="874" w:customStyle="1">
    <w:name w:val="引用 字符"/>
    <w:link w:val="804"/>
    <w:uiPriority w:val="29"/>
    <w:qFormat/>
    <w:rPr>
      <w:i/>
    </w:rPr>
  </w:style>
  <w:style w:type="character" w:styleId="875" w:customStyle="1">
    <w:name w:val="批注引用1"/>
    <w:uiPriority w:val="99"/>
    <w:unhideWhenUsed/>
    <w:qFormat/>
    <w:rPr>
      <w:rFonts w:ascii="Calibri" w:hAnsi="Calibri" w:eastAsia="宋体" w:cs="Times New Roman"/>
      <w:sz w:val="21"/>
      <w:szCs w:val="21"/>
    </w:rPr>
  </w:style>
  <w:style w:type="character" w:styleId="876" w:customStyle="1">
    <w:name w:val="content-right_8zs401"/>
    <w:qFormat/>
  </w:style>
  <w:style w:type="character" w:styleId="877" w:customStyle="1">
    <w:name w:val="明显强调1"/>
    <w:uiPriority w:val="21"/>
    <w:qFormat/>
    <w:rPr>
      <w:i/>
      <w:iCs/>
      <w:color w:val="0f4761"/>
    </w:rPr>
  </w:style>
  <w:style w:type="character" w:styleId="878" w:customStyle="1">
    <w:name w:val="Header or footer|1_"/>
    <w:link w:val="879"/>
    <w:qFormat/>
    <w:rPr>
      <w:rFonts w:ascii="宋体" w:hAnsi="宋体" w:cs="宋体"/>
      <w:sz w:val="22"/>
      <w:szCs w:val="22"/>
      <w:lang w:val="zh-CN" w:bidi="zh-CN"/>
    </w:rPr>
  </w:style>
  <w:style w:type="paragraph" w:styleId="879" w:customStyle="1">
    <w:name w:val="Header or footer|1"/>
    <w:basedOn w:val="722"/>
    <w:link w:val="878"/>
    <w:qFormat/>
    <w:rPr>
      <w:rFonts w:ascii="宋体" w:hAnsi="宋体" w:cs="宋体"/>
      <w:sz w:val="22"/>
      <w:szCs w:val="22"/>
      <w:lang w:val="zh-CN" w:bidi="zh-CN"/>
    </w:rPr>
  </w:style>
  <w:style w:type="character" w:styleId="880" w:customStyle="1">
    <w:name w:val="批注主题 Char"/>
    <w:link w:val="881"/>
    <w:uiPriority w:val="99"/>
    <w:qFormat/>
    <w:rPr>
      <w:rFonts w:ascii="Calibri" w:hAnsi="Calibri"/>
      <w:b/>
      <w:bCs/>
      <w:sz w:val="21"/>
      <w:szCs w:val="24"/>
    </w:rPr>
  </w:style>
  <w:style w:type="paragraph" w:styleId="881" w:customStyle="1">
    <w:name w:val="批注主题1"/>
    <w:basedOn w:val="834"/>
    <w:next w:val="834"/>
    <w:link w:val="880"/>
    <w:uiPriority w:val="99"/>
    <w:unhideWhenUsed/>
    <w:qFormat/>
    <w:rPr>
      <w:b/>
      <w:bCs/>
    </w:rPr>
  </w:style>
  <w:style w:type="character" w:styleId="882" w:customStyle="1">
    <w:name w:val="Plain Text Char Char"/>
    <w:link w:val="883"/>
    <w:qFormat/>
    <w:rPr>
      <w:rFonts w:ascii="宋体" w:hAnsi="Courier New" w:eastAsia="楷体_GB2312"/>
      <w:sz w:val="26"/>
    </w:rPr>
  </w:style>
  <w:style w:type="paragraph" w:styleId="883" w:customStyle="1">
    <w:name w:val="纯文本7"/>
    <w:basedOn w:val="722"/>
    <w:link w:val="882"/>
    <w:qFormat/>
    <w:rPr>
      <w:rFonts w:ascii="宋体" w:hAnsi="Courier New" w:eastAsia="楷体_GB2312"/>
      <w:sz w:val="26"/>
      <w:szCs w:val="20"/>
    </w:rPr>
  </w:style>
  <w:style w:type="character" w:styleId="884" w:customStyle="1">
    <w:name w:val="Plain Text Char"/>
    <w:link w:val="885"/>
    <w:qFormat/>
    <w:rPr>
      <w:rFonts w:ascii="宋体" w:hAnsi="Courier New" w:eastAsia="楷体_GB2312" w:cs="Times New Roman"/>
      <w:sz w:val="26"/>
      <w:szCs w:val="22"/>
    </w:rPr>
  </w:style>
  <w:style w:type="paragraph" w:styleId="885" w:customStyle="1">
    <w:name w:val="纯文本3"/>
    <w:basedOn w:val="722"/>
    <w:link w:val="884"/>
    <w:qFormat/>
    <w:rPr>
      <w:rFonts w:ascii="宋体" w:hAnsi="Courier New" w:eastAsia="楷体_GB2312"/>
      <w:sz w:val="26"/>
      <w:szCs w:val="22"/>
    </w:rPr>
  </w:style>
  <w:style w:type="character" w:styleId="886" w:customStyle="1">
    <w:name w:val="font71"/>
    <w:qFormat/>
    <w:rPr>
      <w:rFonts w:ascii="Times New Roman" w:hAnsi="Times New Roman" w:eastAsia="宋体" w:cs="Times New Roman"/>
      <w:b/>
      <w:bCs/>
      <w:color w:val="000000"/>
      <w:sz w:val="22"/>
      <w:szCs w:val="22"/>
      <w:u w:val="none"/>
    </w:rPr>
  </w:style>
  <w:style w:type="character" w:styleId="887" w:customStyle="1">
    <w:name w:val="标题 4 字符1"/>
    <w:uiPriority w:val="9"/>
    <w:qFormat/>
    <w:rPr>
      <w:rFonts w:eastAsia="华文中宋"/>
      <w:b/>
      <w:sz w:val="24"/>
      <w:szCs w:val="28"/>
    </w:rPr>
  </w:style>
  <w:style w:type="character" w:styleId="888" w:customStyle="1">
    <w:name w:val="强调1"/>
    <w:uiPriority w:val="20"/>
    <w:qFormat/>
  </w:style>
  <w:style w:type="character" w:styleId="889" w:customStyle="1">
    <w:name w:val="apple-converted-space"/>
    <w:qFormat/>
  </w:style>
  <w:style w:type="character" w:styleId="890" w:customStyle="1">
    <w:name w:val="font31"/>
    <w:qFormat/>
    <w:rPr>
      <w:rFonts w:ascii="Times New Roman" w:hAnsi="Times New Roman" w:eastAsia="宋体" w:cs="Times New Roman"/>
      <w:color w:val="000000"/>
      <w:sz w:val="22"/>
      <w:szCs w:val="22"/>
      <w:u w:val="none"/>
    </w:rPr>
  </w:style>
  <w:style w:type="character" w:styleId="891" w:customStyle="1">
    <w:name w:val="已访问的超链接11"/>
    <w:uiPriority w:val="99"/>
    <w:unhideWhenUsed/>
    <w:qFormat/>
    <w:rPr>
      <w:color w:val="954f72"/>
      <w:u w:val="single"/>
    </w:rPr>
  </w:style>
  <w:style w:type="character" w:styleId="892" w:customStyle="1">
    <w:name w:val="正文文本首行缩进 2 字符"/>
    <w:uiPriority w:val="99"/>
    <w:qFormat/>
    <w:rPr>
      <w:sz w:val="21"/>
      <w:szCs w:val="24"/>
    </w:rPr>
  </w:style>
  <w:style w:type="character" w:styleId="893" w:customStyle="1">
    <w:name w:val="批注文字 Char1"/>
    <w:uiPriority w:val="99"/>
    <w:semiHidden/>
    <w:qFormat/>
    <w:rPr>
      <w:rFonts w:ascii="Times New Roman" w:hAnsi="Times New Roman" w:eastAsia="楷体_GB2312" w:cs="Times New Roman"/>
      <w:sz w:val="28"/>
    </w:rPr>
  </w:style>
  <w:style w:type="character" w:styleId="894" w:customStyle="1">
    <w:name w:val="文档结构图 字符1"/>
    <w:link w:val="742"/>
    <w:qFormat/>
    <w:rPr>
      <w:rFonts w:ascii="Times New Roman" w:hAnsi="Times New Roman" w:eastAsia="楷体_GB2312"/>
      <w:sz w:val="28"/>
      <w:shd w:val="clear" w:color="auto" w:fill="000080"/>
    </w:rPr>
  </w:style>
  <w:style w:type="character" w:styleId="895" w:customStyle="1">
    <w:name w:val="已访问的超链接1"/>
    <w:uiPriority w:val="99"/>
    <w:unhideWhenUsed/>
    <w:qFormat/>
    <w:rPr>
      <w:color w:val="333333"/>
      <w:u w:val="none"/>
    </w:rPr>
  </w:style>
  <w:style w:type="character" w:styleId="896" w:customStyle="1">
    <w:name w:val="脚注引用1"/>
    <w:uiPriority w:val="99"/>
    <w:unhideWhenUsed/>
    <w:qFormat/>
    <w:rPr>
      <w:rFonts w:ascii="Times New Roman" w:hAnsi="Times New Roman" w:eastAsia="宋体" w:cs="Times New Roman"/>
      <w:vertAlign w:val="superscript"/>
    </w:rPr>
  </w:style>
  <w:style w:type="character" w:styleId="897" w:customStyle="1">
    <w:name w:val="标题 5 字符"/>
    <w:link w:val="727"/>
    <w:uiPriority w:val="9"/>
    <w:qFormat/>
    <w:rPr>
      <w:rFonts w:ascii="Arial" w:hAnsi="Arial" w:eastAsia="Arial" w:cs="Arial"/>
      <w:b/>
      <w:bCs/>
      <w:sz w:val="24"/>
      <w:szCs w:val="24"/>
    </w:rPr>
  </w:style>
  <w:style w:type="character" w:styleId="898" w:customStyle="1">
    <w:name w:val="标题 9 字符1"/>
    <w:uiPriority w:val="9"/>
    <w:qFormat/>
    <w:rPr>
      <w:rFonts w:ascii="Arial" w:hAnsi="Arial" w:eastAsia="黑体"/>
      <w:sz w:val="21"/>
    </w:rPr>
  </w:style>
  <w:style w:type="character" w:styleId="899" w:customStyle="1">
    <w:name w:val="正文文本缩进 3 字符"/>
    <w:link w:val="768"/>
    <w:qFormat/>
    <w:rPr>
      <w:rFonts w:ascii="Times New Roman" w:hAnsi="Times New Roman"/>
      <w:sz w:val="16"/>
      <w:szCs w:val="16"/>
    </w:rPr>
  </w:style>
  <w:style w:type="character" w:styleId="900" w:customStyle="1">
    <w:name w:val="标题 4 字符"/>
    <w:link w:val="726"/>
    <w:uiPriority w:val="9"/>
    <w:qFormat/>
    <w:rPr>
      <w:rFonts w:ascii="Arial" w:hAnsi="Arial" w:eastAsia="Arial" w:cs="Arial"/>
      <w:b/>
      <w:bCs/>
      <w:sz w:val="26"/>
      <w:szCs w:val="26"/>
    </w:rPr>
  </w:style>
  <w:style w:type="character" w:styleId="901" w:customStyle="1">
    <w:name w:val="font101"/>
    <w:qFormat/>
    <w:rPr>
      <w:rFonts w:hint="eastAsia" w:ascii="楷体_GB2312" w:hAnsi="Calibri" w:eastAsia="楷体_GB2312" w:cs="楷体_GB2312"/>
      <w:color w:val="000000"/>
      <w:sz w:val="24"/>
      <w:szCs w:val="24"/>
      <w:u w:val="none"/>
    </w:rPr>
  </w:style>
  <w:style w:type="character" w:styleId="902" w:customStyle="1">
    <w:name w:val="日期2"/>
    <w:qFormat/>
    <w:rPr>
      <w:rFonts w:ascii="Calibri" w:hAnsi="Calibri" w:eastAsia="宋体" w:cs="Times New Roman"/>
    </w:rPr>
  </w:style>
  <w:style w:type="character" w:styleId="903" w:customStyle="1">
    <w:name w:val="2级标题 Char"/>
    <w:link w:val="904"/>
    <w:qFormat/>
    <w:rPr>
      <w:rFonts w:eastAsia="华文中宋"/>
      <w:b/>
      <w:bCs/>
      <w:sz w:val="28"/>
      <w:szCs w:val="32"/>
    </w:rPr>
  </w:style>
  <w:style w:type="paragraph" w:styleId="904" w:customStyle="1">
    <w:name w:val="2级标题"/>
    <w:basedOn w:val="724"/>
    <w:link w:val="903"/>
    <w:qFormat/>
    <w:pPr>
      <w:spacing w:line="360" w:lineRule="auto"/>
      <w:tabs>
        <w:tab w:val="left" w:pos="851" w:leader="none"/>
      </w:tabs>
    </w:pPr>
    <w:rPr>
      <w:rFonts w:ascii="Calibri" w:hAnsi="Calibri" w:eastAsia="华文中宋"/>
      <w:b/>
      <w:bCs/>
      <w:sz w:val="28"/>
      <w:szCs w:val="32"/>
    </w:rPr>
  </w:style>
  <w:style w:type="character" w:styleId="905" w:customStyle="1">
    <w:name w:val="要点1"/>
    <w:qFormat/>
    <w:rPr>
      <w:rFonts w:ascii="Calibri" w:hAnsi="Calibri" w:eastAsia="宋体" w:cs="Times New Roman"/>
      <w:b/>
    </w:rPr>
  </w:style>
  <w:style w:type="character" w:styleId="906" w:customStyle="1">
    <w:name w:val="尾注文本 字符"/>
    <w:link w:val="756"/>
    <w:uiPriority w:val="99"/>
    <w:qFormat/>
    <w:rPr>
      <w:sz w:val="20"/>
    </w:rPr>
  </w:style>
  <w:style w:type="character" w:styleId="907" w:customStyle="1">
    <w:name w:val="样式6 Char"/>
    <w:link w:val="908"/>
    <w:qFormat/>
    <w:rPr>
      <w:sz w:val="18"/>
      <w:szCs w:val="18"/>
    </w:rPr>
  </w:style>
  <w:style w:type="paragraph" w:styleId="908" w:customStyle="1">
    <w:name w:val="样式6"/>
    <w:basedOn w:val="760"/>
    <w:link w:val="907"/>
    <w:qFormat/>
    <w:pPr>
      <w:ind w:firstLine="425"/>
      <w:jc w:val="center"/>
      <w:tabs>
        <w:tab w:val="center" w:pos="4153" w:leader="none"/>
        <w:tab w:val="right" w:pos="8306" w:leader="none"/>
      </w:tabs>
    </w:pPr>
    <w:rPr>
      <w:sz w:val="18"/>
      <w:szCs w:val="18"/>
    </w:rPr>
  </w:style>
  <w:style w:type="character" w:styleId="909" w:customStyle="1">
    <w:name w:val="正文文本缩进 字符1"/>
    <w:link w:val="746"/>
    <w:qFormat/>
    <w:rPr>
      <w:rFonts w:ascii="宋体" w:hAnsi="Times New Roman"/>
      <w:sz w:val="28"/>
    </w:rPr>
  </w:style>
  <w:style w:type="character" w:styleId="910" w:customStyle="1">
    <w:name w:val="正文文本 2 字符"/>
    <w:link w:val="774"/>
    <w:rPr>
      <w:rFonts w:ascii="Times New Roman" w:hAnsi="Times New Roman" w:eastAsia="楷体_GB2312"/>
      <w:sz w:val="28"/>
    </w:rPr>
  </w:style>
  <w:style w:type="character" w:styleId="911" w:customStyle="1">
    <w:name w:val="脚注文本 字符"/>
    <w:link w:val="766"/>
    <w:uiPriority w:val="99"/>
    <w:qFormat/>
    <w:rPr>
      <w:sz w:val="18"/>
    </w:rPr>
  </w:style>
  <w:style w:type="character" w:styleId="912" w:customStyle="1">
    <w:name w:val="font121"/>
    <w:qFormat/>
    <w:rPr>
      <w:rFonts w:ascii="Times New Roman" w:hAnsi="Times New Roman" w:eastAsia="宋体" w:cs="Times New Roman"/>
      <w:color w:val="000000"/>
      <w:sz w:val="24"/>
      <w:szCs w:val="24"/>
      <w:u w:val="none"/>
    </w:rPr>
  </w:style>
  <w:style w:type="character" w:styleId="913" w:customStyle="1">
    <w:name w:val="批注主题 字符1"/>
    <w:link w:val="778"/>
    <w:qFormat/>
    <w:rPr>
      <w:rFonts w:ascii="Times New Roman" w:hAnsi="Times New Roman" w:eastAsia="楷体_GB2312"/>
      <w:b/>
      <w:bCs/>
      <w:sz w:val="28"/>
      <w:lang w:val="en-GB"/>
    </w:rPr>
  </w:style>
  <w:style w:type="character" w:styleId="914" w:customStyle="1">
    <w:name w:val="3级标题 Char"/>
    <w:link w:val="915"/>
    <w:qFormat/>
    <w:rPr>
      <w:rFonts w:eastAsia="华文中宋"/>
      <w:b/>
      <w:bCs/>
      <w:sz w:val="28"/>
      <w:szCs w:val="32"/>
    </w:rPr>
  </w:style>
  <w:style w:type="paragraph" w:styleId="915" w:customStyle="1">
    <w:name w:val="3级标题"/>
    <w:basedOn w:val="724"/>
    <w:link w:val="914"/>
    <w:qFormat/>
    <w:pPr>
      <w:spacing w:line="360" w:lineRule="auto"/>
      <w:tabs>
        <w:tab w:val="left" w:pos="1080" w:leader="none"/>
      </w:tabs>
    </w:pPr>
    <w:rPr>
      <w:rFonts w:ascii="Calibri" w:hAnsi="Calibri" w:eastAsia="华文中宋"/>
      <w:b/>
      <w:bCs/>
      <w:sz w:val="28"/>
      <w:szCs w:val="32"/>
    </w:rPr>
  </w:style>
  <w:style w:type="character" w:styleId="916" w:customStyle="1">
    <w:name w:val="题注 字符"/>
    <w:qFormat/>
    <w:rPr>
      <w:sz w:val="21"/>
    </w:rPr>
  </w:style>
  <w:style w:type="character" w:styleId="917" w:customStyle="1">
    <w:name w:val="正文文本 Char"/>
    <w:qFormat/>
    <w:rPr>
      <w:rFonts w:ascii="Calibri" w:hAnsi="Calibri" w:eastAsia="宋体" w:cs="Times New Roman"/>
      <w:szCs w:val="24"/>
    </w:rPr>
  </w:style>
  <w:style w:type="character" w:styleId="918" w:customStyle="1">
    <w:name w:val="页眉 字符"/>
    <w:link w:val="760"/>
    <w:uiPriority w:val="99"/>
    <w:qFormat/>
  </w:style>
  <w:style w:type="character" w:styleId="919" w:customStyle="1">
    <w:name w:val="纯文本 Char"/>
    <w:link w:val="920"/>
    <w:uiPriority w:val="99"/>
    <w:qFormat/>
    <w:rPr>
      <w:rFonts w:ascii="宋体" w:hAnsi="Courier New" w:eastAsia="宋体" w:cs="Courier New"/>
      <w:szCs w:val="21"/>
    </w:rPr>
  </w:style>
  <w:style w:type="paragraph" w:styleId="920" w:customStyle="1">
    <w:name w:val="纯文本111"/>
    <w:basedOn w:val="722"/>
    <w:link w:val="919"/>
    <w:uiPriority w:val="99"/>
    <w:qFormat/>
    <w:rPr>
      <w:rFonts w:ascii="宋体" w:hAnsi="Courier New"/>
      <w:sz w:val="20"/>
      <w:szCs w:val="21"/>
    </w:rPr>
  </w:style>
  <w:style w:type="character" w:styleId="921" w:customStyle="1">
    <w:name w:val="标题 3 Char"/>
    <w:link w:val="922"/>
    <w:qFormat/>
    <w:rPr>
      <w:rFonts w:ascii="Times New Roman" w:hAnsi="Times New Roman" w:eastAsia="宋体" w:cs="Times New Roman"/>
      <w:b/>
      <w:sz w:val="32"/>
      <w:szCs w:val="20"/>
    </w:rPr>
  </w:style>
  <w:style w:type="paragraph" w:styleId="922" w:customStyle="1">
    <w:name w:val="标题 31"/>
    <w:basedOn w:val="722"/>
    <w:next w:val="923"/>
    <w:link w:val="921"/>
    <w:qFormat/>
    <w:pPr>
      <w:keepLines/>
      <w:keepNext/>
      <w:spacing w:before="260" w:after="260" w:line="416" w:lineRule="auto"/>
      <w:outlineLvl w:val="2"/>
    </w:pPr>
    <w:rPr>
      <w:b/>
      <w:sz w:val="32"/>
      <w:szCs w:val="20"/>
    </w:rPr>
  </w:style>
  <w:style w:type="paragraph" w:styleId="923" w:customStyle="1">
    <w:name w:val="正文缩进11"/>
    <w:basedOn w:val="722"/>
    <w:next w:val="722"/>
    <w:link w:val="1004"/>
    <w:unhideWhenUsed/>
    <w:qFormat/>
    <w:pPr>
      <w:ind w:firstLine="420"/>
    </w:pPr>
    <w:rPr>
      <w:rFonts w:eastAsia="楷体_GB2312"/>
      <w:sz w:val="24"/>
      <w:szCs w:val="20"/>
    </w:rPr>
  </w:style>
  <w:style w:type="character" w:styleId="924" w:customStyle="1">
    <w:name w:val="题注 字符1"/>
    <w:link w:val="740"/>
    <w:qFormat/>
    <w:rPr>
      <w:b/>
      <w:bCs/>
      <w:color w:val="4f81bd"/>
      <w:sz w:val="18"/>
      <w:szCs w:val="18"/>
    </w:rPr>
  </w:style>
  <w:style w:type="character" w:styleId="925" w:customStyle="1">
    <w:name w:val="正文文本缩进 2 字符"/>
    <w:qFormat/>
    <w:rPr>
      <w:sz w:val="21"/>
      <w:szCs w:val="24"/>
    </w:rPr>
  </w:style>
  <w:style w:type="character" w:styleId="926" w:customStyle="1">
    <w:name w:val="正文文本缩进 字符"/>
    <w:qFormat/>
    <w:rPr>
      <w:sz w:val="21"/>
      <w:szCs w:val="24"/>
    </w:rPr>
  </w:style>
  <w:style w:type="character" w:styleId="927" w:customStyle="1">
    <w:name w:val="标题 字符"/>
    <w:link w:val="777"/>
    <w:qFormat/>
    <w:rPr>
      <w:sz w:val="48"/>
      <w:szCs w:val="48"/>
    </w:rPr>
  </w:style>
  <w:style w:type="character" w:styleId="928" w:customStyle="1">
    <w:name w:val="页眉 Char"/>
    <w:link w:val="929"/>
    <w:qFormat/>
    <w:rPr>
      <w:rFonts w:ascii="Calibri" w:hAnsi="Calibri" w:eastAsia="宋体" w:cs="Times New Roman"/>
      <w:sz w:val="18"/>
      <w:szCs w:val="18"/>
    </w:rPr>
  </w:style>
  <w:style w:type="paragraph" w:styleId="929" w:customStyle="1">
    <w:name w:val="页眉1"/>
    <w:basedOn w:val="722"/>
    <w:link w:val="928"/>
    <w:unhideWhenUsed/>
    <w:qFormat/>
    <w:pPr>
      <w:jc w:val="center"/>
      <w:tabs>
        <w:tab w:val="center" w:pos="4153" w:leader="none"/>
        <w:tab w:val="right" w:pos="8306" w:leader="none"/>
      </w:tabs>
      <w:pBdr>
        <w:bottom w:val="none" w:color="000000" w:sz="0" w:space="1"/>
      </w:pBdr>
    </w:pPr>
    <w:rPr>
      <w:sz w:val="18"/>
      <w:szCs w:val="18"/>
    </w:rPr>
  </w:style>
  <w:style w:type="character" w:styleId="930" w:customStyle="1">
    <w:name w:val="日期 Char"/>
    <w:link w:val="931"/>
    <w:qFormat/>
    <w:rPr>
      <w:rFonts w:ascii="Calibri" w:hAnsi="Calibri" w:eastAsia="宋体" w:cs="Times New Roman"/>
      <w:b/>
      <w:bCs/>
      <w:spacing w:val="20"/>
    </w:rPr>
  </w:style>
  <w:style w:type="paragraph" w:styleId="931" w:customStyle="1">
    <w:name w:val="日期1"/>
    <w:basedOn w:val="722"/>
    <w:next w:val="722"/>
    <w:link w:val="930"/>
    <w:unhideWhenUsed/>
    <w:qFormat/>
    <w:pPr>
      <w:ind w:left="100"/>
    </w:pPr>
    <w:rPr>
      <w:b/>
      <w:bCs/>
      <w:spacing w:val="20"/>
      <w:sz w:val="20"/>
      <w:szCs w:val="20"/>
    </w:rPr>
  </w:style>
  <w:style w:type="character" w:styleId="932" w:customStyle="1">
    <w:name w:val="标题 3 字符1"/>
    <w:uiPriority w:val="9"/>
    <w:rPr>
      <w:rFonts w:eastAsia="楷体_GB2312"/>
      <w:b/>
      <w:sz w:val="28"/>
    </w:rPr>
  </w:style>
  <w:style w:type="character" w:styleId="933" w:customStyle="1">
    <w:name w:val="样式3 Char"/>
    <w:link w:val="934"/>
    <w:qFormat/>
    <w:rPr>
      <w:sz w:val="18"/>
      <w:szCs w:val="18"/>
    </w:rPr>
  </w:style>
  <w:style w:type="paragraph" w:styleId="934" w:customStyle="1">
    <w:name w:val="样式3"/>
    <w:basedOn w:val="760"/>
    <w:link w:val="933"/>
    <w:qFormat/>
    <w:pPr>
      <w:tabs>
        <w:tab w:val="center" w:pos="4153" w:leader="none"/>
        <w:tab w:val="right" w:pos="8306" w:leader="none"/>
      </w:tabs>
    </w:pPr>
    <w:rPr>
      <w:sz w:val="18"/>
      <w:szCs w:val="18"/>
    </w:rPr>
  </w:style>
  <w:style w:type="character" w:styleId="935" w:customStyle="1">
    <w:name w:val="明显参考1"/>
    <w:uiPriority w:val="32"/>
    <w:qFormat/>
    <w:rPr>
      <w:b/>
      <w:bCs/>
      <w:smallCaps/>
      <w:color w:val="0f4761"/>
      <w:spacing w:val="5"/>
    </w:rPr>
  </w:style>
  <w:style w:type="character" w:styleId="936" w:customStyle="1">
    <w:name w:val="页脚 字符1"/>
    <w:qFormat/>
    <w:rPr>
      <w:rFonts w:eastAsia="楷体_GB2312"/>
      <w:sz w:val="18"/>
    </w:rPr>
  </w:style>
  <w:style w:type="character" w:styleId="937" w:customStyle="1">
    <w:name w:val="font131"/>
    <w:qFormat/>
    <w:rPr>
      <w:rFonts w:hint="eastAsia" w:ascii="黑体" w:hAnsi="宋体" w:eastAsia="黑体" w:cs="黑体"/>
      <w:b/>
      <w:bCs/>
      <w:color w:val="000000"/>
      <w:sz w:val="22"/>
      <w:szCs w:val="22"/>
      <w:u w:val="none"/>
    </w:rPr>
  </w:style>
  <w:style w:type="character" w:styleId="938" w:customStyle="1">
    <w:name w:val="正文文本缩进 2 字符1"/>
    <w:link w:val="755"/>
    <w:rPr>
      <w:rFonts w:ascii="Times New Roman" w:hAnsi="Times New Roman" w:eastAsia="楷体_GB2312"/>
      <w:sz w:val="28"/>
    </w:rPr>
  </w:style>
  <w:style w:type="character" w:styleId="939" w:customStyle="1">
    <w:name w:val="明显引用 字符"/>
    <w:link w:val="806"/>
    <w:uiPriority w:val="30"/>
    <w:rPr>
      <w:i/>
    </w:rPr>
  </w:style>
  <w:style w:type="character" w:styleId="940" w:customStyle="1">
    <w:name w:val="正文2 Char Char"/>
    <w:link w:val="941"/>
    <w:rPr>
      <w:sz w:val="24"/>
    </w:rPr>
  </w:style>
  <w:style w:type="paragraph" w:styleId="941" w:customStyle="1">
    <w:name w:val="正文2"/>
    <w:basedOn w:val="722"/>
    <w:link w:val="940"/>
    <w:qFormat/>
    <w:pPr>
      <w:ind w:firstLine="510"/>
      <w:spacing w:before="156" w:line="360" w:lineRule="auto"/>
    </w:pPr>
    <w:rPr>
      <w:sz w:val="24"/>
      <w:szCs w:val="20"/>
    </w:rPr>
  </w:style>
  <w:style w:type="character" w:styleId="942" w:customStyle="1">
    <w:name w:val="Plain Text Char1"/>
    <w:rPr>
      <w:rFonts w:ascii="Calibri" w:hAnsi="Calibri"/>
    </w:rPr>
  </w:style>
  <w:style w:type="character" w:styleId="943" w:customStyle="1">
    <w:name w:val="font91"/>
    <w:qFormat/>
    <w:rPr>
      <w:rFonts w:ascii="楷体_GB2312" w:hAnsi="Calibri" w:eastAsia="楷体_GB2312" w:cs="楷体_GB2312"/>
      <w:b/>
      <w:bCs/>
      <w:color w:val="000000"/>
      <w:sz w:val="24"/>
      <w:szCs w:val="24"/>
      <w:u w:val="none"/>
    </w:rPr>
  </w:style>
  <w:style w:type="character" w:styleId="944" w:customStyle="1">
    <w:name w:val="正文文本缩进 3 Char1"/>
    <w:link w:val="945"/>
    <w:uiPriority w:val="99"/>
    <w:qFormat/>
    <w:rPr>
      <w:rFonts w:ascii="Times New Roman" w:hAnsi="Times New Roman" w:eastAsia="宋体" w:cs="Times New Roman"/>
      <w:sz w:val="24"/>
    </w:rPr>
  </w:style>
  <w:style w:type="paragraph" w:styleId="945" w:customStyle="1">
    <w:name w:val="正文文本缩进 31"/>
    <w:basedOn w:val="722"/>
    <w:next w:val="946"/>
    <w:link w:val="944"/>
    <w:unhideWhenUsed/>
    <w:qFormat/>
    <w:pPr>
      <w:ind w:firstLine="480"/>
      <w:spacing w:line="440" w:lineRule="atLeast"/>
    </w:pPr>
    <w:rPr>
      <w:sz w:val="24"/>
      <w:szCs w:val="20"/>
    </w:rPr>
  </w:style>
  <w:style w:type="paragraph" w:styleId="946" w:customStyle="1">
    <w:name w:val="目录 61"/>
    <w:basedOn w:val="843"/>
    <w:next w:val="722"/>
    <w:uiPriority w:val="39"/>
    <w:unhideWhenUsed/>
    <w:qFormat/>
    <w:pPr>
      <w:ind w:left="1400" w:firstLine="3784"/>
      <w:spacing w:before="0" w:after="0" w:line="360" w:lineRule="auto"/>
    </w:pPr>
    <w:rPr>
      <w:sz w:val="20"/>
      <w:szCs w:val="20"/>
    </w:rPr>
  </w:style>
  <w:style w:type="character" w:styleId="947" w:customStyle="1">
    <w:name w:val="正文文本 Char1"/>
    <w:link w:val="948"/>
    <w:uiPriority w:val="99"/>
    <w:qFormat/>
    <w:rPr>
      <w:rFonts w:ascii="Times New Roman" w:hAnsi="Times New Roman" w:eastAsia="宋体" w:cs="Times New Roman"/>
    </w:rPr>
  </w:style>
  <w:style w:type="paragraph" w:styleId="948" w:customStyle="1">
    <w:name w:val="正文文本1"/>
    <w:basedOn w:val="722"/>
    <w:next w:val="949"/>
    <w:link w:val="947"/>
    <w:uiPriority w:val="99"/>
    <w:unhideWhenUsed/>
    <w:qFormat/>
    <w:pPr>
      <w:spacing w:after="120"/>
    </w:pPr>
    <w:rPr>
      <w:sz w:val="20"/>
      <w:szCs w:val="20"/>
    </w:rPr>
  </w:style>
  <w:style w:type="paragraph" w:styleId="949" w:customStyle="1">
    <w:name w:val="正文缩进1"/>
    <w:basedOn w:val="722"/>
    <w:next w:val="722"/>
    <w:qFormat/>
    <w:pPr>
      <w:ind w:firstLine="420"/>
    </w:pPr>
    <w:rPr>
      <w:rFonts w:eastAsia="楷体_GB2312"/>
      <w:sz w:val="24"/>
    </w:rPr>
  </w:style>
  <w:style w:type="character" w:styleId="950" w:customStyle="1">
    <w:name w:val="日期 字符1"/>
    <w:qFormat/>
    <w:rPr>
      <w:rFonts w:ascii="宋体" w:hAnsi="宋体" w:eastAsia="楷体_GB2312"/>
      <w:sz w:val="24"/>
    </w:rPr>
  </w:style>
  <w:style w:type="character" w:styleId="951" w:customStyle="1">
    <w:name w:val="font41"/>
    <w:qFormat/>
    <w:rPr>
      <w:rFonts w:hint="eastAsia" w:ascii="宋体" w:hAnsi="宋体" w:eastAsia="宋体" w:cs="宋体"/>
      <w:color w:val="000000"/>
      <w:sz w:val="20"/>
      <w:szCs w:val="20"/>
      <w:u w:val="none"/>
    </w:rPr>
  </w:style>
  <w:style w:type="character" w:styleId="952" w:customStyle="1">
    <w:name w:val="grame"/>
    <w:basedOn w:val="732"/>
  </w:style>
  <w:style w:type="character" w:styleId="953" w:customStyle="1">
    <w:name w:val="注释标题 字符"/>
    <w:link w:val="737"/>
    <w:uiPriority w:val="99"/>
    <w:qFormat/>
    <w:rPr>
      <w:rFonts w:ascii="仿宋_GB2312" w:hAnsi="仿宋_GB2312" w:eastAsia="仿宋_GB2312"/>
      <w:sz w:val="32"/>
      <w:szCs w:val="22"/>
    </w:rPr>
  </w:style>
  <w:style w:type="character" w:styleId="954" w:customStyle="1">
    <w:name w:val="03 正文 Char"/>
    <w:link w:val="955"/>
    <w:qFormat/>
    <w:rPr>
      <w:sz w:val="21"/>
      <w:szCs w:val="24"/>
    </w:rPr>
  </w:style>
  <w:style w:type="paragraph" w:styleId="955" w:customStyle="1">
    <w:name w:val="03 正文"/>
    <w:basedOn w:val="722"/>
    <w:link w:val="954"/>
    <w:qFormat/>
    <w:pPr>
      <w:ind w:firstLine="420"/>
      <w:spacing w:line="500" w:lineRule="atLeast"/>
    </w:pPr>
  </w:style>
  <w:style w:type="character" w:styleId="956" w:customStyle="1">
    <w:name w:val="正文文本首行缩进 2 字符1"/>
    <w:link w:val="957"/>
    <w:uiPriority w:val="99"/>
    <w:qFormat/>
    <w:rPr>
      <w:rFonts w:ascii="Times New Roman" w:hAnsi="Times New Roman" w:eastAsia="楷体_GB2312"/>
      <w:sz w:val="28"/>
    </w:rPr>
  </w:style>
  <w:style w:type="paragraph" w:styleId="957" w:customStyle="1">
    <w:name w:val="正文首行缩进 211"/>
    <w:basedOn w:val="746"/>
    <w:link w:val="956"/>
    <w:uiPriority w:val="99"/>
    <w:qFormat/>
    <w:pPr>
      <w:ind w:left="420" w:firstLine="420"/>
      <w:spacing w:after="120"/>
    </w:pPr>
    <w:rPr>
      <w:rFonts w:ascii="Times New Roman" w:eastAsia="楷体_GB2312"/>
    </w:rPr>
  </w:style>
  <w:style w:type="character" w:styleId="958" w:customStyle="1">
    <w:name w:val="纯文本 Char Char"/>
    <w:qFormat/>
    <w:rPr>
      <w:rFonts w:ascii="宋体" w:hAnsi="Courier New" w:eastAsia="楷体_GB2312"/>
      <w:sz w:val="26"/>
    </w:rPr>
  </w:style>
  <w:style w:type="character" w:styleId="959" w:customStyle="1">
    <w:name w:val="正文文本缩进 3 字符1"/>
    <w:uiPriority w:val="99"/>
    <w:qFormat/>
    <w:rPr>
      <w:sz w:val="24"/>
      <w:szCs w:val="24"/>
    </w:rPr>
  </w:style>
  <w:style w:type="character" w:styleId="960" w:customStyle="1">
    <w:name w:val="正文文本 字符"/>
    <w:link w:val="745"/>
    <w:uiPriority w:val="1"/>
    <w:qFormat/>
    <w:rPr>
      <w:rFonts w:ascii="宋体" w:hAnsi="宋体"/>
      <w:sz w:val="21"/>
      <w:szCs w:val="21"/>
    </w:rPr>
  </w:style>
  <w:style w:type="character" w:styleId="961" w:customStyle="1">
    <w:name w:val="标题 3 字符"/>
    <w:link w:val="725"/>
    <w:qFormat/>
    <w:rPr>
      <w:rFonts w:ascii="Arial" w:hAnsi="Arial" w:eastAsia="Arial" w:cs="Arial"/>
      <w:sz w:val="30"/>
      <w:szCs w:val="30"/>
    </w:rPr>
  </w:style>
  <w:style w:type="character" w:styleId="962" w:customStyle="1">
    <w:name w:val="样式1 Char"/>
    <w:link w:val="963"/>
    <w:qFormat/>
    <w:rPr>
      <w:rFonts w:ascii="Times New Roman" w:hAnsi="Times New Roman"/>
      <w:sz w:val="21"/>
      <w:szCs w:val="21"/>
    </w:rPr>
  </w:style>
  <w:style w:type="paragraph" w:styleId="963" w:customStyle="1">
    <w:name w:val="样式1"/>
    <w:basedOn w:val="758"/>
    <w:link w:val="962"/>
    <w:qFormat/>
    <w:pPr>
      <w:jc w:val="center"/>
      <w:tabs>
        <w:tab w:val="center" w:pos="4153" w:leader="none"/>
        <w:tab w:val="right" w:pos="8306" w:leader="none"/>
      </w:tabs>
      <w:pBdr>
        <w:top w:val="single" w:color="000000" w:sz="4" w:space="1"/>
      </w:pBdr>
    </w:pPr>
    <w:rPr>
      <w:szCs w:val="21"/>
    </w:rPr>
  </w:style>
  <w:style w:type="character" w:styleId="964" w:customStyle="1">
    <w:name w:val="NormalCharacter11"/>
    <w:qFormat/>
  </w:style>
  <w:style w:type="character" w:styleId="965" w:customStyle="1">
    <w:name w:val="font21"/>
    <w:qFormat/>
    <w:rPr>
      <w:rFonts w:hint="eastAsia" w:ascii="宋体" w:hAnsi="宋体" w:eastAsia="宋体" w:cs="宋体"/>
      <w:color w:val="000000"/>
      <w:sz w:val="22"/>
      <w:szCs w:val="22"/>
      <w:u w:val="none"/>
    </w:rPr>
  </w:style>
  <w:style w:type="character" w:styleId="966" w:customStyle="1">
    <w:name w:val="日期 字符2"/>
    <w:link w:val="754"/>
    <w:qFormat/>
    <w:rPr>
      <w:rFonts w:ascii="宋体" w:hAnsi="宋体" w:eastAsia="楷体_GB2312"/>
      <w:sz w:val="24"/>
    </w:rPr>
  </w:style>
  <w:style w:type="character" w:styleId="967" w:customStyle="1">
    <w:name w:val="正文缩进 Char1"/>
    <w:qFormat/>
    <w:rPr>
      <w:rFonts w:ascii="Calibri" w:hAnsi="Calibri" w:eastAsia="宋体" w:cs="Times New Roman"/>
    </w:rPr>
  </w:style>
  <w:style w:type="character" w:styleId="968" w:customStyle="1">
    <w:name w:val="para1"/>
    <w:qFormat/>
    <w:rPr>
      <w:rFonts w:ascii="Arial" w:hAnsi="Arial" w:cs="Arial"/>
      <w:sz w:val="18"/>
      <w:szCs w:val="18"/>
    </w:rPr>
  </w:style>
  <w:style w:type="character" w:styleId="969" w:customStyle="1">
    <w:name w:val="font51"/>
    <w:qFormat/>
    <w:rPr>
      <w:rFonts w:ascii="方正书宋_GBK" w:hAnsi="方正书宋_GBK" w:eastAsia="方正书宋_GBK" w:cs="方正书宋_GBK"/>
      <w:color w:val="000000"/>
      <w:sz w:val="20"/>
      <w:szCs w:val="20"/>
      <w:u w:val="none"/>
    </w:rPr>
  </w:style>
  <w:style w:type="character" w:styleId="970" w:customStyle="1">
    <w:name w:val="font01"/>
    <w:qFormat/>
    <w:rPr>
      <w:rFonts w:hint="eastAsia" w:ascii="宋体" w:hAnsi="宋体" w:eastAsia="宋体" w:cs="宋体"/>
      <w:color w:val="000000"/>
      <w:sz w:val="22"/>
      <w:szCs w:val="22"/>
      <w:u w:val="single"/>
    </w:rPr>
  </w:style>
  <w:style w:type="character" w:styleId="971" w:customStyle="1">
    <w:name w:val="font81"/>
    <w:qFormat/>
    <w:rPr>
      <w:rFonts w:ascii="Times New Roman" w:hAnsi="Times New Roman" w:eastAsia="宋体" w:cs="Times New Roman"/>
      <w:color w:val="000000"/>
      <w:sz w:val="22"/>
      <w:szCs w:val="22"/>
      <w:u w:val="none"/>
    </w:rPr>
  </w:style>
  <w:style w:type="character" w:styleId="972" w:customStyle="1">
    <w:name w:val="样式2 Char"/>
    <w:link w:val="973"/>
    <w:qFormat/>
    <w:rPr>
      <w:sz w:val="21"/>
      <w:szCs w:val="21"/>
    </w:rPr>
  </w:style>
  <w:style w:type="paragraph" w:styleId="973" w:customStyle="1">
    <w:name w:val="样式2"/>
    <w:basedOn w:val="963"/>
    <w:link w:val="972"/>
    <w:qFormat/>
    <w:pPr>
      <w:pBdr>
        <w:top w:val="single" w:color="1F497D" w:sz="6" w:space="1"/>
      </w:pBdr>
    </w:pPr>
    <w:rPr>
      <w:rFonts w:ascii="Calibri" w:hAnsi="Calibri"/>
    </w:rPr>
  </w:style>
  <w:style w:type="character" w:styleId="974" w:customStyle="1">
    <w:name w:val="方案正文 Char"/>
    <w:link w:val="975"/>
    <w:rPr>
      <w:rFonts w:ascii="楷体_GB2312" w:hAnsi="宋体" w:eastAsia="楷体_GB2312"/>
      <w:spacing w:val="2"/>
      <w:sz w:val="24"/>
      <w:szCs w:val="24"/>
    </w:rPr>
  </w:style>
  <w:style w:type="paragraph" w:styleId="975" w:customStyle="1">
    <w:name w:val="方案正文"/>
    <w:basedOn w:val="722"/>
    <w:link w:val="974"/>
    <w:qFormat/>
    <w:pPr>
      <w:ind w:firstLine="425"/>
      <w:tabs>
        <w:tab w:val="left" w:pos="0" w:leader="none"/>
      </w:tabs>
    </w:pPr>
    <w:rPr>
      <w:rFonts w:ascii="楷体_GB2312" w:hAnsi="宋体" w:eastAsia="楷体_GB2312"/>
      <w:spacing w:val="2"/>
      <w:sz w:val="24"/>
    </w:rPr>
  </w:style>
  <w:style w:type="character" w:styleId="976" w:customStyle="1">
    <w:name w:val="批注框文本 字符"/>
    <w:qFormat/>
    <w:rPr>
      <w:sz w:val="18"/>
      <w:szCs w:val="18"/>
    </w:rPr>
  </w:style>
  <w:style w:type="character" w:styleId="977" w:customStyle="1">
    <w:name w:val="批注主题 字符"/>
    <w:uiPriority w:val="99"/>
    <w:qFormat/>
    <w:rPr>
      <w:b/>
      <w:bCs/>
      <w:sz w:val="21"/>
      <w:szCs w:val="24"/>
    </w:rPr>
  </w:style>
  <w:style w:type="character" w:styleId="978" w:customStyle="1">
    <w:name w:val="批注框文本 字符1"/>
    <w:link w:val="757"/>
    <w:rPr>
      <w:rFonts w:ascii="Times New Roman" w:hAnsi="Times New Roman" w:eastAsia="楷体_GB2312"/>
      <w:sz w:val="16"/>
      <w:szCs w:val="16"/>
    </w:rPr>
  </w:style>
  <w:style w:type="character" w:styleId="979" w:customStyle="1">
    <w:name w:val="5级 Char"/>
    <w:link w:val="980"/>
    <w:qFormat/>
    <w:rPr>
      <w:rFonts w:eastAsia="华文中宋"/>
      <w:b/>
      <w:sz w:val="24"/>
      <w:szCs w:val="28"/>
    </w:rPr>
  </w:style>
  <w:style w:type="paragraph" w:styleId="980" w:customStyle="1">
    <w:name w:val="5级"/>
    <w:basedOn w:val="726"/>
    <w:link w:val="979"/>
    <w:qFormat/>
    <w:pPr>
      <w:spacing w:line="360" w:lineRule="auto"/>
      <w:tabs>
        <w:tab w:val="left" w:pos="1276" w:leader="none"/>
      </w:tabs>
    </w:pPr>
    <w:rPr>
      <w:rFonts w:ascii="Calibri" w:hAnsi="Calibri" w:eastAsia="华文中宋"/>
      <w:bCs w:val="0"/>
      <w:sz w:val="24"/>
      <w:szCs w:val="28"/>
    </w:rPr>
  </w:style>
  <w:style w:type="character" w:styleId="981" w:customStyle="1">
    <w:name w:val="标题 7 字符"/>
    <w:link w:val="729"/>
    <w:uiPriority w:val="9"/>
    <w:qFormat/>
    <w:rPr>
      <w:rFonts w:ascii="Arial" w:hAnsi="Arial" w:eastAsia="Arial" w:cs="Arial"/>
      <w:b/>
      <w:bCs/>
      <w:i/>
      <w:iCs/>
      <w:sz w:val="22"/>
      <w:szCs w:val="22"/>
    </w:rPr>
  </w:style>
  <w:style w:type="character" w:styleId="982" w:customStyle="1">
    <w:name w:val="脚注文本 字符1"/>
    <w:semiHidden/>
    <w:qFormat/>
    <w:rPr>
      <w:rFonts w:ascii="Calibri" w:hAnsi="Calibri" w:eastAsia="宋体" w:cs="Times New Roman"/>
      <w:sz w:val="18"/>
      <w:szCs w:val="18"/>
    </w:rPr>
  </w:style>
  <w:style w:type="character" w:styleId="983" w:customStyle="1">
    <w:name w:val="批注框文本 Char"/>
    <w:link w:val="984"/>
    <w:qFormat/>
    <w:rPr>
      <w:rFonts w:ascii="Calibri" w:hAnsi="Calibri" w:eastAsia="宋体" w:cs="Times New Roman"/>
      <w:sz w:val="18"/>
      <w:szCs w:val="18"/>
    </w:rPr>
  </w:style>
  <w:style w:type="paragraph" w:styleId="984" w:customStyle="1">
    <w:name w:val="批注框文本1"/>
    <w:basedOn w:val="722"/>
    <w:link w:val="983"/>
    <w:unhideWhenUsed/>
    <w:qFormat/>
    <w:rPr>
      <w:sz w:val="18"/>
      <w:szCs w:val="18"/>
    </w:rPr>
  </w:style>
  <w:style w:type="character" w:styleId="985" w:customStyle="1">
    <w:name w:val="注释标题 字符1"/>
    <w:uiPriority w:val="99"/>
    <w:qFormat/>
    <w:rPr>
      <w:sz w:val="21"/>
      <w:szCs w:val="24"/>
    </w:rPr>
  </w:style>
  <w:style w:type="character" w:styleId="986" w:customStyle="1">
    <w:name w:val="超链接1"/>
    <w:uiPriority w:val="99"/>
    <w:unhideWhenUsed/>
    <w:qFormat/>
    <w:rPr>
      <w:color w:val="333333"/>
      <w:u w:val="none"/>
    </w:rPr>
  </w:style>
  <w:style w:type="character" w:styleId="987" w:customStyle="1">
    <w:name w:val="标题 2 字符"/>
    <w:link w:val="724"/>
    <w:uiPriority w:val="9"/>
    <w:qFormat/>
    <w:rPr>
      <w:rFonts w:ascii="Arial" w:hAnsi="Arial" w:eastAsia="Arial" w:cs="Arial"/>
      <w:sz w:val="34"/>
    </w:rPr>
  </w:style>
  <w:style w:type="character" w:styleId="988" w:customStyle="1">
    <w:name w:val="cf01"/>
    <w:rPr>
      <w:rFonts w:hint="eastAsia" w:ascii="Microsoft YaHei UI" w:hAnsi="Microsoft YaHei UI" w:eastAsia="Microsoft YaHei UI"/>
      <w:sz w:val="18"/>
      <w:szCs w:val="18"/>
    </w:rPr>
  </w:style>
  <w:style w:type="character" w:styleId="989" w:customStyle="1">
    <w:name w:val="标题 8 字符"/>
    <w:link w:val="730"/>
    <w:uiPriority w:val="9"/>
    <w:qFormat/>
    <w:rPr>
      <w:rFonts w:ascii="Arial" w:hAnsi="Arial" w:eastAsia="Arial" w:cs="Arial"/>
      <w:i/>
      <w:iCs/>
      <w:sz w:val="22"/>
      <w:szCs w:val="22"/>
    </w:rPr>
  </w:style>
  <w:style w:type="character" w:styleId="990" w:customStyle="1">
    <w:name w:val="正文缩进 字符1"/>
    <w:link w:val="739"/>
    <w:qFormat/>
    <w:rPr>
      <w:rFonts w:eastAsia="楷体_GB2312"/>
      <w:sz w:val="24"/>
    </w:rPr>
  </w:style>
  <w:style w:type="character" w:styleId="991" w:customStyle="1">
    <w:name w:val="标题 9 字符"/>
    <w:link w:val="731"/>
    <w:uiPriority w:val="9"/>
    <w:rPr>
      <w:rFonts w:ascii="Arial" w:hAnsi="Arial" w:eastAsia="Arial" w:cs="Arial"/>
      <w:i/>
      <w:iCs/>
      <w:sz w:val="21"/>
      <w:szCs w:val="21"/>
    </w:rPr>
  </w:style>
  <w:style w:type="character" w:styleId="992" w:customStyle="1">
    <w:name w:val="标题四 Char1"/>
    <w:qFormat/>
    <w:rPr>
      <w:rFonts w:eastAsia="楷体_GB2312"/>
      <w:sz w:val="24"/>
    </w:rPr>
  </w:style>
  <w:style w:type="character" w:styleId="993" w:customStyle="1">
    <w:name w:val="标题 1 字符1"/>
    <w:qFormat/>
    <w:rPr>
      <w:rFonts w:eastAsia="楷体_GB2312"/>
      <w:b/>
      <w:sz w:val="44"/>
    </w:rPr>
  </w:style>
  <w:style w:type="character" w:styleId="994" w:customStyle="1">
    <w:name w:val="标题 7 字符1"/>
    <w:uiPriority w:val="9"/>
    <w:rPr>
      <w:b/>
      <w:sz w:val="24"/>
    </w:rPr>
  </w:style>
  <w:style w:type="character" w:styleId="995" w:customStyle="1">
    <w:name w:val="HTML 打字机1"/>
    <w:rPr>
      <w:rFonts w:hint="eastAsia" w:ascii="黑体" w:hAnsi="Courier New" w:eastAsia="黑体"/>
      <w:sz w:val="14"/>
    </w:rPr>
  </w:style>
  <w:style w:type="character" w:styleId="996" w:customStyle="1">
    <w:name w:val="页眉 字符1"/>
    <w:qFormat/>
    <w:rPr>
      <w:rFonts w:eastAsia="楷体_GB2312"/>
      <w:sz w:val="18"/>
    </w:rPr>
  </w:style>
  <w:style w:type="character" w:styleId="997" w:customStyle="1">
    <w:name w:val="标题 字符1"/>
    <w:uiPriority w:val="10"/>
    <w:qFormat/>
    <w:rPr>
      <w:rFonts w:ascii="等线 Light" w:hAnsi="等线 Light" w:eastAsia="等线 Light" w:cs="Times New Roman"/>
      <w:spacing w:val="-10"/>
      <w:sz w:val="56"/>
      <w:szCs w:val="56"/>
    </w:rPr>
  </w:style>
  <w:style w:type="character" w:styleId="998" w:customStyle="1">
    <w:name w:val="列表段落 字符1"/>
    <w:link w:val="800"/>
    <w:rPr>
      <w:sz w:val="21"/>
      <w:szCs w:val="24"/>
    </w:rPr>
  </w:style>
  <w:style w:type="character" w:styleId="999" w:customStyle="1">
    <w:name w:val="样式5 Char"/>
    <w:link w:val="1000"/>
    <w:qFormat/>
    <w:rPr>
      <w:sz w:val="24"/>
      <w:szCs w:val="22"/>
    </w:rPr>
  </w:style>
  <w:style w:type="paragraph" w:styleId="1000" w:customStyle="1">
    <w:name w:val="样式5"/>
    <w:basedOn w:val="722"/>
    <w:link w:val="999"/>
    <w:qFormat/>
    <w:pPr>
      <w:pBdr>
        <w:bottom w:val="single" w:color="C0504D" w:sz="6" w:space="1"/>
      </w:pBdr>
    </w:pPr>
    <w:rPr>
      <w:sz w:val="24"/>
      <w:szCs w:val="22"/>
    </w:rPr>
  </w:style>
  <w:style w:type="character" w:styleId="1001" w:customStyle="1">
    <w:name w:val="标题 2 Char"/>
    <w:link w:val="1002"/>
    <w:qFormat/>
    <w:rPr>
      <w:rFonts w:ascii="Cambria" w:hAnsi="Cambria" w:eastAsia="宋体" w:cs="Times New Roman"/>
      <w:b/>
      <w:bCs/>
      <w:sz w:val="32"/>
      <w:szCs w:val="32"/>
    </w:rPr>
  </w:style>
  <w:style w:type="paragraph" w:styleId="1002" w:customStyle="1">
    <w:name w:val="标题 21"/>
    <w:basedOn w:val="722"/>
    <w:next w:val="722"/>
    <w:link w:val="1001"/>
    <w:qFormat/>
    <w:pPr>
      <w:keepLines/>
      <w:keepNext/>
      <w:spacing w:before="260" w:after="260" w:line="416" w:lineRule="auto"/>
      <w:outlineLvl w:val="1"/>
    </w:pPr>
    <w:rPr>
      <w:rFonts w:ascii="Cambria" w:hAnsi="Cambria"/>
      <w:b/>
      <w:bCs/>
      <w:sz w:val="32"/>
      <w:szCs w:val="32"/>
    </w:rPr>
  </w:style>
  <w:style w:type="character" w:styleId="1003" w:customStyle="1">
    <w:name w:val="日期 Char1"/>
    <w:qFormat/>
    <w:rPr>
      <w:rFonts w:ascii="Calibri" w:hAnsi="Calibri" w:eastAsia="宋体" w:cs="Times New Roman"/>
      <w:szCs w:val="24"/>
    </w:rPr>
  </w:style>
  <w:style w:type="character" w:styleId="1004" w:customStyle="1">
    <w:name w:val="正文缩进 Char"/>
    <w:link w:val="923"/>
    <w:qFormat/>
    <w:rPr>
      <w:rFonts w:ascii="Times New Roman" w:hAnsi="Times New Roman" w:eastAsia="楷体_GB2312" w:cs="Times New Roman"/>
      <w:sz w:val="24"/>
      <w:szCs w:val="20"/>
    </w:rPr>
  </w:style>
  <w:style w:type="character" w:styleId="1005" w:customStyle="1">
    <w:name w:val="fontstyle01"/>
    <w:qFormat/>
    <w:rPr>
      <w:rFonts w:ascii="宋体" w:hAnsi="宋体" w:eastAsia="宋体" w:cs="宋体"/>
      <w:color w:val="000000"/>
      <w:sz w:val="24"/>
      <w:szCs w:val="24"/>
    </w:rPr>
  </w:style>
  <w:style w:type="character" w:styleId="1006" w:customStyle="1">
    <w:name w:val="Footer Char"/>
    <w:uiPriority w:val="99"/>
    <w:qFormat/>
  </w:style>
  <w:style w:type="character" w:styleId="1007" w:customStyle="1">
    <w:name w:val="副标题 字符"/>
    <w:link w:val="765"/>
    <w:uiPriority w:val="11"/>
    <w:qFormat/>
    <w:rPr>
      <w:sz w:val="24"/>
      <w:szCs w:val="24"/>
    </w:rPr>
  </w:style>
  <w:style w:type="character" w:styleId="1008" w:customStyle="1">
    <w:name w:val="页脚 Char1"/>
    <w:qFormat/>
    <w:rPr>
      <w:rFonts w:ascii="Times New Roman" w:hAnsi="Times New Roman" w:eastAsia="仿宋_GB2312" w:cs="Times New Roman"/>
      <w:sz w:val="18"/>
      <w:szCs w:val="18"/>
    </w:rPr>
  </w:style>
  <w:style w:type="character" w:styleId="1009" w:customStyle="1">
    <w:name w:val="font11"/>
    <w:qFormat/>
    <w:rPr>
      <w:rFonts w:hint="eastAsia" w:ascii="仿宋" w:hAnsi="仿宋" w:eastAsia="仿宋" w:cs="仿宋"/>
      <w:color w:val="000000"/>
      <w:sz w:val="24"/>
      <w:szCs w:val="24"/>
      <w:u w:val="none"/>
    </w:rPr>
  </w:style>
  <w:style w:type="character" w:styleId="1010" w:customStyle="1">
    <w:name w:val="正文缩进 字符"/>
    <w:qFormat/>
    <w:rPr>
      <w:rFonts w:eastAsia="楷体_GB2312"/>
      <w:sz w:val="24"/>
    </w:rPr>
  </w:style>
  <w:style w:type="paragraph" w:styleId="1011" w:customStyle="1">
    <w:name w:val="目录 71"/>
    <w:basedOn w:val="722"/>
    <w:next w:val="722"/>
    <w:unhideWhenUsed/>
    <w:qFormat/>
    <w:pPr>
      <w:ind w:left="1701"/>
      <w:spacing w:after="57"/>
    </w:pPr>
  </w:style>
  <w:style w:type="paragraph" w:styleId="1012" w:customStyle="1">
    <w:name w:val="目录 81"/>
    <w:basedOn w:val="722"/>
    <w:next w:val="722"/>
    <w:unhideWhenUsed/>
    <w:qFormat/>
    <w:pPr>
      <w:ind w:left="1984"/>
      <w:spacing w:after="57"/>
    </w:pPr>
  </w:style>
  <w:style w:type="paragraph" w:styleId="1013" w:customStyle="1">
    <w:name w:val="目录 51"/>
    <w:basedOn w:val="722"/>
    <w:next w:val="722"/>
    <w:unhideWhenUsed/>
    <w:qFormat/>
    <w:pPr>
      <w:ind w:left="1134"/>
      <w:spacing w:after="57"/>
    </w:pPr>
  </w:style>
  <w:style w:type="paragraph" w:styleId="1014" w:customStyle="1">
    <w:name w:val="列表段落1"/>
    <w:basedOn w:val="722"/>
    <w:uiPriority w:val="34"/>
    <w:qFormat/>
    <w:pPr>
      <w:ind w:firstLine="420"/>
    </w:pPr>
    <w:rPr>
      <w:sz w:val="24"/>
    </w:rPr>
  </w:style>
  <w:style w:type="paragraph" w:styleId="1015" w:customStyle="1">
    <w:name w:val="msonormal"/>
    <w:basedOn w:val="722"/>
    <w:qFormat/>
    <w:pPr>
      <w:spacing w:before="100" w:beforeAutospacing="1" w:after="100" w:afterAutospacing="1"/>
    </w:pPr>
    <w:rPr>
      <w:rFonts w:ascii="宋体" w:hAnsi="宋体" w:cs="宋体"/>
      <w:sz w:val="24"/>
    </w:rPr>
  </w:style>
  <w:style w:type="paragraph" w:styleId="1016" w:customStyle="1">
    <w:name w:val="纯文本2"/>
    <w:basedOn w:val="722"/>
    <w:qFormat/>
    <w:rPr>
      <w:rFonts w:ascii="宋体" w:hAnsi="Courier New"/>
    </w:rPr>
  </w:style>
  <w:style w:type="paragraph" w:styleId="1017" w:customStyle="1">
    <w:name w:val="xl73"/>
    <w:basedOn w:val="722"/>
    <w:qFormat/>
    <w:pPr>
      <w:jc w:val="center"/>
      <w:spacing w:before="100" w:beforeAutospacing="1" w:after="100" w:afterAutospacing="1"/>
      <w:shd w:val="clear" w:color="ff0000" w:fill="ffffff"/>
      <w:pBdr>
        <w:top w:val="single" w:color="000000" w:sz="8" w:space="0"/>
        <w:left w:val="single" w:color="000000" w:sz="4" w:space="0"/>
        <w:right w:val="single" w:color="000000" w:sz="4" w:space="0"/>
      </w:pBdr>
    </w:pPr>
    <w:rPr>
      <w:rFonts w:ascii="黑体" w:hAnsi="黑体" w:eastAsia="黑体" w:cs="宋体"/>
      <w:color w:val="000000"/>
      <w:szCs w:val="21"/>
    </w:rPr>
  </w:style>
  <w:style w:type="paragraph" w:styleId="1018" w:customStyle="1">
    <w:name w:val="Table Text"/>
    <w:basedOn w:val="722"/>
    <w:semiHidden/>
    <w:qFormat/>
    <w:rPr>
      <w:rFonts w:ascii="宋体" w:hAnsi="宋体" w:cs="宋体"/>
      <w:color w:val="000000"/>
      <w:sz w:val="24"/>
      <w:lang w:eastAsia="en-US"/>
    </w:rPr>
  </w:style>
  <w:style w:type="paragraph" w:styleId="1019" w:customStyle="1">
    <w:name w:val="默认段落字体 Para Char Char Char Char Char Char Char"/>
    <w:basedOn w:val="722"/>
    <w:qFormat/>
    <w:pPr>
      <w:spacing w:line="360" w:lineRule="auto"/>
    </w:pPr>
    <w:rPr>
      <w:rFonts w:ascii="Tahoma" w:hAnsi="Tahoma"/>
      <w:sz w:val="24"/>
      <w:szCs w:val="20"/>
    </w:rPr>
  </w:style>
  <w:style w:type="paragraph" w:styleId="1020" w:customStyle="1">
    <w:name w:val="a"/>
    <w:basedOn w:val="722"/>
    <w:qFormat/>
    <w:pPr>
      <w:spacing w:before="100" w:beforeAutospacing="1" w:after="100" w:afterAutospacing="1"/>
    </w:pPr>
    <w:rPr>
      <w:rFonts w:ascii="宋体" w:hAnsi="宋体"/>
      <w:sz w:val="24"/>
    </w:rPr>
  </w:style>
  <w:style w:type="paragraph" w:styleId="1021" w:customStyle="1">
    <w:name w:val="xl4835"/>
    <w:basedOn w:val="7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2" w:customStyle="1">
    <w:name w:val="列出段落1"/>
    <w:basedOn w:val="722"/>
    <w:uiPriority w:val="1"/>
    <w:qFormat/>
    <w:pPr>
      <w:ind w:firstLine="420"/>
    </w:pPr>
  </w:style>
  <w:style w:type="paragraph" w:styleId="1023" w:customStyle="1">
    <w:name w:val="首行缩进"/>
    <w:basedOn w:val="722"/>
    <w:qFormat/>
    <w:pPr>
      <w:ind w:firstLine="480"/>
    </w:pPr>
    <w:rPr>
      <w:rFonts w:eastAsia="楷体_GB2312"/>
      <w:sz w:val="28"/>
      <w:szCs w:val="20"/>
      <w:lang w:val="zh-CN"/>
    </w:rPr>
  </w:style>
  <w:style w:type="paragraph" w:styleId="1024" w:customStyle="1">
    <w:name w:val="1.1.1.1.1"/>
    <w:basedOn w:val="726"/>
    <w:qFormat/>
    <w:pPr>
      <w:ind w:left="992"/>
      <w:spacing w:line="360" w:lineRule="auto"/>
      <w:tabs>
        <w:tab w:val="left" w:pos="992" w:leader="none"/>
        <w:tab w:val="left" w:pos="1080" w:leader="none"/>
      </w:tabs>
    </w:pPr>
    <w:rPr>
      <w:rFonts w:ascii="Times New Roman" w:hAnsi="Times New Roman" w:eastAsia="华文中宋"/>
      <w:sz w:val="24"/>
      <w:szCs w:val="28"/>
    </w:rPr>
  </w:style>
  <w:style w:type="paragraph" w:styleId="1025" w:customStyle="1">
    <w:name w:val="段"/>
    <w:next w:val="722"/>
    <w:qFormat/>
    <w:pPr>
      <w:ind w:firstLine="200"/>
      <w:jc w:val="both"/>
      <w:spacing w:after="160" w:line="360" w:lineRule="auto"/>
    </w:pPr>
    <w:rPr>
      <w:sz w:val="24"/>
      <w:szCs w:val="22"/>
    </w:rPr>
  </w:style>
  <w:style w:type="paragraph" w:styleId="1026" w:customStyle="1">
    <w:name w:val="目录 31"/>
    <w:basedOn w:val="722"/>
    <w:next w:val="722"/>
    <w:uiPriority w:val="39"/>
    <w:unhideWhenUsed/>
    <w:qFormat/>
    <w:pPr>
      <w:ind w:left="567"/>
      <w:spacing w:after="57"/>
    </w:pPr>
  </w:style>
  <w:style w:type="paragraph" w:styleId="1027" w:customStyle="1">
    <w:name w:val="xl69"/>
    <w:basedOn w:val="722"/>
    <w:qFormat/>
    <w:pPr>
      <w:jc w:val="right"/>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028" w:customStyle="1">
    <w:name w:val="正文文本缩进2"/>
    <w:basedOn w:val="722"/>
    <w:next w:val="722"/>
    <w:uiPriority w:val="99"/>
    <w:unhideWhenUsed/>
    <w:qFormat/>
    <w:pPr>
      <w:ind w:left="420" w:firstLine="1188"/>
      <w:spacing w:line="360" w:lineRule="exact"/>
    </w:pPr>
  </w:style>
  <w:style w:type="paragraph" w:styleId="1029" w:customStyle="1">
    <w:name w:val="Char Char Char"/>
    <w:basedOn w:val="742"/>
    <w:qFormat/>
    <w:pPr>
      <w:spacing w:line="360" w:lineRule="auto"/>
    </w:pPr>
    <w:rPr>
      <w:rFonts w:ascii="Tahoma" w:hAnsi="Tahoma" w:eastAsia="宋体"/>
      <w:sz w:val="24"/>
      <w:szCs w:val="24"/>
    </w:rPr>
  </w:style>
  <w:style w:type="paragraph" w:styleId="1030" w:customStyle="1">
    <w:name w:val="纯文本10"/>
    <w:basedOn w:val="722"/>
    <w:qFormat/>
    <w:rPr>
      <w:rFonts w:ascii="宋体" w:hAnsi="Courier New"/>
      <w:sz w:val="28"/>
    </w:rPr>
  </w:style>
  <w:style w:type="paragraph" w:styleId="1031" w:customStyle="1">
    <w:name w:val="目录 611"/>
    <w:basedOn w:val="722"/>
    <w:next w:val="722"/>
    <w:unhideWhenUsed/>
    <w:qFormat/>
    <w:pPr>
      <w:ind w:left="1417"/>
      <w:spacing w:after="57"/>
    </w:pPr>
  </w:style>
  <w:style w:type="paragraph" w:styleId="1032" w:customStyle="1">
    <w:name w:val="正文 A"/>
    <w:qFormat/>
    <w:pPr>
      <w:jc w:val="both"/>
      <w:spacing w:after="160" w:line="278" w:lineRule="auto"/>
      <w:widowControl w:val="off"/>
      <w:framePr w:wrap="around" w:hAnchor="text" w:yAlign="top"/>
    </w:pPr>
    <w:rPr>
      <w:rFonts w:hAnsi="Arial Unicode MS" w:eastAsia="Arial Unicode MS" w:cs="Arial Unicode MS"/>
      <w:color w:val="000000"/>
      <w:sz w:val="21"/>
      <w:szCs w:val="21"/>
    </w:rPr>
  </w:style>
  <w:style w:type="paragraph" w:styleId="1033" w:customStyle="1">
    <w:name w:val="普通(网站)1"/>
    <w:basedOn w:val="722"/>
    <w:uiPriority w:val="99"/>
    <w:qFormat/>
    <w:pPr>
      <w:spacing w:beforeAutospacing="1" w:afterAutospacing="1"/>
    </w:pPr>
    <w:rPr>
      <w:sz w:val="24"/>
    </w:rPr>
  </w:style>
  <w:style w:type="paragraph" w:styleId="1034" w:customStyle="1">
    <w:name w:val="Char2 Char Char Char Char Char Char Char Char Char1"/>
    <w:basedOn w:val="722"/>
    <w:qFormat/>
    <w:pPr>
      <w:ind w:firstLine="200"/>
      <w:spacing w:line="360" w:lineRule="auto"/>
    </w:pPr>
    <w:rPr>
      <w:rFonts w:ascii="Tahoma" w:hAnsi="Tahoma"/>
      <w:sz w:val="24"/>
      <w:szCs w:val="20"/>
    </w:rPr>
  </w:style>
  <w:style w:type="paragraph" w:styleId="1035" w:customStyle="1">
    <w:name w:val="寄信人地址2"/>
    <w:basedOn w:val="722"/>
    <w:qFormat/>
    <w:rPr>
      <w:sz w:val="26"/>
    </w:rPr>
  </w:style>
  <w:style w:type="paragraph" w:styleId="1036" w:customStyle="1">
    <w:name w:val="正文文本缩进1"/>
    <w:basedOn w:val="722"/>
    <w:next w:val="722"/>
    <w:qFormat/>
    <w:pPr>
      <w:ind w:left="420"/>
      <w:spacing w:after="120"/>
    </w:pPr>
  </w:style>
  <w:style w:type="paragraph" w:styleId="1037" w:customStyle="1">
    <w:name w:val="Plain Text1"/>
    <w:basedOn w:val="722"/>
    <w:qFormat/>
    <w:rPr>
      <w:rFonts w:hint="eastAsia" w:ascii="宋体" w:hAnsi="Courier New" w:eastAsia="楷体_GB2312"/>
      <w:sz w:val="28"/>
      <w:szCs w:val="20"/>
    </w:rPr>
  </w:style>
  <w:style w:type="paragraph" w:styleId="1038" w:customStyle="1">
    <w:name w:val="Plain Text2"/>
    <w:basedOn w:val="722"/>
    <w:qFormat/>
    <w:rPr>
      <w:rFonts w:ascii="宋体" w:hAnsi="Courier New" w:eastAsia="楷体_GB2312"/>
      <w:sz w:val="26"/>
      <w:szCs w:val="20"/>
    </w:rPr>
  </w:style>
  <w:style w:type="paragraph" w:styleId="1039" w:customStyle="1">
    <w:name w:val="sec"/>
    <w:basedOn w:val="722"/>
    <w:qFormat/>
    <w:pPr>
      <w:spacing w:before="100" w:beforeAutospacing="1" w:after="100" w:afterAutospacing="1"/>
    </w:pPr>
    <w:rPr>
      <w:rFonts w:ascii="宋体" w:hAnsi="宋体" w:cs="宋体"/>
      <w:sz w:val="24"/>
    </w:rPr>
  </w:style>
  <w:style w:type="paragraph" w:styleId="1040" w:customStyle="1">
    <w:name w:val="脚注文本1"/>
    <w:basedOn w:val="843"/>
    <w:next w:val="1041"/>
    <w:uiPriority w:val="99"/>
    <w:unhideWhenUsed/>
    <w:qFormat/>
    <w:pPr>
      <w:ind w:firstLine="3584"/>
      <w:spacing w:before="0" w:after="0" w:line="360" w:lineRule="auto"/>
    </w:pPr>
    <w:rPr>
      <w:sz w:val="21"/>
      <w:szCs w:val="24"/>
    </w:rPr>
  </w:style>
  <w:style w:type="paragraph" w:styleId="1041" w:customStyle="1">
    <w:name w:val="文本块1"/>
    <w:basedOn w:val="722"/>
    <w:uiPriority w:val="99"/>
    <w:unhideWhenUsed/>
    <w:qFormat/>
    <w:pPr>
      <w:ind w:left="630" w:right="-609" w:firstLine="420"/>
      <w:spacing w:line="360" w:lineRule="auto"/>
    </w:pPr>
    <w:rPr>
      <w:rFonts w:hint="eastAsia" w:ascii="仿宋_GB2312" w:eastAsia="仿宋_GB2312"/>
      <w:szCs w:val="20"/>
    </w:rPr>
  </w:style>
  <w:style w:type="paragraph" w:styleId="1042" w:customStyle="1">
    <w:name w:val="Char Char Char Char1"/>
    <w:basedOn w:val="722"/>
    <w:qFormat/>
    <w:pPr>
      <w:ind w:firstLine="200"/>
      <w:spacing w:line="360" w:lineRule="auto"/>
    </w:pPr>
    <w:rPr>
      <w:rFonts w:ascii="Tahoma" w:hAnsi="Tahoma"/>
      <w:sz w:val="24"/>
      <w:szCs w:val="20"/>
    </w:rPr>
  </w:style>
  <w:style w:type="paragraph" w:styleId="1043" w:customStyle="1">
    <w:name w:val="font6"/>
    <w:basedOn w:val="722"/>
    <w:qFormat/>
    <w:pPr>
      <w:spacing w:before="100" w:beforeAutospacing="1" w:after="100" w:afterAutospacing="1"/>
    </w:pPr>
    <w:rPr>
      <w:rFonts w:ascii="宋体" w:hAnsi="宋体" w:cs="宋体"/>
      <w:color w:val="dbeef3"/>
      <w:sz w:val="18"/>
      <w:szCs w:val="18"/>
    </w:rPr>
  </w:style>
  <w:style w:type="paragraph" w:styleId="1044" w:customStyle="1">
    <w:name w:val="NormalIndent1"/>
    <w:basedOn w:val="722"/>
    <w:qFormat/>
    <w:pPr>
      <w:ind w:firstLine="420"/>
    </w:pPr>
    <w:rPr>
      <w:sz w:val="24"/>
      <w:szCs w:val="22"/>
    </w:rPr>
  </w:style>
  <w:style w:type="paragraph" w:styleId="1045" w:customStyle="1">
    <w:name w:val="列出段落11"/>
    <w:basedOn w:val="722"/>
    <w:uiPriority w:val="34"/>
    <w:qFormat/>
    <w:pPr>
      <w:ind w:firstLine="420"/>
    </w:pPr>
    <w:rPr>
      <w:rFonts w:ascii="华文楷体" w:hAnsi="华文楷体" w:eastAsia="华文楷体"/>
      <w:szCs w:val="20"/>
    </w:rPr>
  </w:style>
  <w:style w:type="paragraph" w:styleId="1046" w:customStyle="1">
    <w:name w:val="纯文本5"/>
    <w:basedOn w:val="722"/>
    <w:qFormat/>
    <w:rPr>
      <w:rFonts w:ascii="宋体" w:hAnsi="Courier New" w:eastAsia="楷体_GB2312"/>
      <w:sz w:val="26"/>
      <w:szCs w:val="20"/>
    </w:rPr>
  </w:style>
  <w:style w:type="paragraph" w:styleId="1047" w:customStyle="1">
    <w:name w:val="xl74"/>
    <w:basedOn w:val="722"/>
    <w:qFormat/>
    <w:pPr>
      <w:spacing w:before="100" w:beforeAutospacing="1" w:after="100" w:afterAutospacing="1"/>
      <w:shd w:val="clear" w:color="ff0000" w:fill="ffffff"/>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048" w:customStyle="1">
    <w:name w:val="表格1"/>
    <w:basedOn w:val="722"/>
    <w:qFormat/>
    <w:pPr>
      <w:ind w:left="72" w:right="72"/>
      <w:jc w:val="center"/>
      <w:spacing w:after="60"/>
    </w:pPr>
    <w:rPr>
      <w:szCs w:val="20"/>
    </w:rPr>
  </w:style>
  <w:style w:type="paragraph" w:styleId="1049" w:customStyle="1">
    <w:name w:val="font10"/>
    <w:basedOn w:val="722"/>
    <w:qFormat/>
    <w:pPr>
      <w:spacing w:before="100" w:beforeAutospacing="1" w:after="100" w:afterAutospacing="1"/>
    </w:pPr>
    <w:rPr>
      <w:rFonts w:ascii="宋体" w:hAnsi="宋体" w:cs="宋体"/>
      <w:sz w:val="18"/>
      <w:szCs w:val="18"/>
    </w:rPr>
  </w:style>
  <w:style w:type="paragraph" w:styleId="1050" w:customStyle="1">
    <w:name w:val="纯文本4"/>
    <w:basedOn w:val="722"/>
    <w:qFormat/>
    <w:rPr>
      <w:rFonts w:ascii="宋体" w:hAnsi="Courier New" w:eastAsia="楷体_GB2312"/>
      <w:sz w:val="26"/>
      <w:szCs w:val="20"/>
    </w:rPr>
  </w:style>
  <w:style w:type="paragraph" w:styleId="1051" w:customStyle="1">
    <w:name w:val="page_title"/>
    <w:basedOn w:val="722"/>
    <w:qFormat/>
    <w:pPr>
      <w:jc w:val="center"/>
      <w:spacing w:line="390" w:lineRule="atLeast"/>
    </w:pPr>
    <w:rPr>
      <w:rFonts w:ascii="微软雅黑" w:hAnsi="微软雅黑" w:eastAsia="微软雅黑"/>
      <w:sz w:val="33"/>
      <w:szCs w:val="33"/>
    </w:rPr>
  </w:style>
  <w:style w:type="paragraph" w:styleId="1052" w:customStyle="1">
    <w:name w:val="Char Char Char1"/>
    <w:basedOn w:val="722"/>
    <w:qFormat/>
    <w:rPr>
      <w:rFonts w:ascii="Tahoma" w:hAnsi="Tahoma"/>
      <w:sz w:val="24"/>
      <w:szCs w:val="20"/>
    </w:rPr>
  </w:style>
  <w:style w:type="paragraph" w:styleId="1053" w:customStyle="1">
    <w:name w:val="列出段落12"/>
    <w:basedOn w:val="722"/>
    <w:qFormat/>
    <w:pPr>
      <w:ind w:firstLine="420"/>
    </w:pPr>
    <w:rPr>
      <w:rFonts w:ascii="宋体" w:hAnsi="宋体"/>
      <w:sz w:val="24"/>
    </w:rPr>
  </w:style>
  <w:style w:type="paragraph" w:styleId="1054" w:customStyle="1">
    <w:name w:val="Char Char2"/>
    <w:basedOn w:val="722"/>
    <w:qFormat/>
    <w:pPr>
      <w:ind w:firstLine="200"/>
      <w:spacing w:line="360" w:lineRule="auto"/>
    </w:pPr>
    <w:rPr>
      <w:sz w:val="28"/>
      <w:szCs w:val="20"/>
    </w:rPr>
  </w:style>
  <w:style w:type="paragraph" w:styleId="1055" w:customStyle="1">
    <w:name w:val="Char2 Char Char Char Char Char Char Char Char Char"/>
    <w:basedOn w:val="722"/>
    <w:qFormat/>
    <w:pPr>
      <w:ind w:firstLine="200"/>
      <w:spacing w:line="360" w:lineRule="auto"/>
    </w:pPr>
    <w:rPr>
      <w:rFonts w:ascii="Tahoma" w:hAnsi="Tahoma"/>
      <w:sz w:val="24"/>
      <w:szCs w:val="20"/>
    </w:rPr>
  </w:style>
  <w:style w:type="paragraph" w:styleId="1056" w:customStyle="1">
    <w:name w:val="xl70"/>
    <w:basedOn w:val="722"/>
    <w:qFormat/>
    <w:pPr>
      <w:jc w:val="center"/>
      <w:spacing w:before="100" w:beforeAutospacing="1" w:after="100" w:afterAutospacing="1"/>
      <w:shd w:val="clear" w:color="ff0000" w:fill="ffffff"/>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057" w:customStyle="1">
    <w:name w:val="目录 41"/>
    <w:basedOn w:val="722"/>
    <w:next w:val="722"/>
    <w:uiPriority w:val="39"/>
    <w:unhideWhenUsed/>
    <w:qFormat/>
    <w:pPr>
      <w:ind w:left="850"/>
      <w:spacing w:after="57"/>
    </w:pPr>
  </w:style>
  <w:style w:type="paragraph" w:styleId="1058" w:customStyle="1">
    <w:name w:val="目录 111"/>
    <w:basedOn w:val="722"/>
    <w:next w:val="722"/>
    <w:unhideWhenUsed/>
    <w:qFormat/>
    <w:pPr>
      <w:spacing w:after="57"/>
    </w:pPr>
  </w:style>
  <w:style w:type="paragraph" w:styleId="1059" w:customStyle="1">
    <w:name w:val="Char Char Char1 Char Char Char Char1"/>
    <w:basedOn w:val="722"/>
    <w:qFormat/>
    <w:pPr>
      <w:spacing w:line="240" w:lineRule="exact"/>
    </w:pPr>
    <w:rPr>
      <w:sz w:val="24"/>
    </w:rPr>
  </w:style>
  <w:style w:type="paragraph" w:styleId="1060" w:customStyle="1">
    <w:name w:val="style1"/>
    <w:basedOn w:val="722"/>
    <w:qFormat/>
    <w:pPr>
      <w:spacing w:before="100" w:beforeAutospacing="1" w:after="100" w:afterAutospacing="1"/>
    </w:pPr>
    <w:rPr>
      <w:rFonts w:ascii="宋体" w:hAnsi="宋体" w:cs="宋体"/>
      <w:sz w:val="24"/>
    </w:rPr>
  </w:style>
  <w:style w:type="paragraph" w:styleId="1061" w:customStyle="1">
    <w:name w:val="_Style 5"/>
    <w:basedOn w:val="722"/>
    <w:qFormat/>
    <w:pPr>
      <w:contextualSpacing/>
      <w:ind w:left="720"/>
    </w:pPr>
    <w:rPr>
      <w:sz w:val="24"/>
      <w:lang w:eastAsia="en-US"/>
    </w:rPr>
  </w:style>
  <w:style w:type="paragraph" w:styleId="1062" w:customStyle="1">
    <w:name w:val="目录 91"/>
    <w:basedOn w:val="722"/>
    <w:next w:val="722"/>
    <w:unhideWhenUsed/>
    <w:qFormat/>
    <w:pPr>
      <w:ind w:left="2268"/>
      <w:spacing w:after="57"/>
    </w:pPr>
  </w:style>
  <w:style w:type="paragraph" w:styleId="1063" w:customStyle="1">
    <w:name w:val="p2"/>
    <w:basedOn w:val="722"/>
    <w:qFormat/>
    <w:pPr>
      <w:spacing w:before="100" w:beforeAutospacing="1" w:after="100" w:afterAutospacing="1"/>
    </w:pPr>
    <w:rPr>
      <w:rFonts w:ascii="宋体" w:hAnsi="宋体" w:cs="宋体"/>
      <w:sz w:val="24"/>
    </w:rPr>
  </w:style>
  <w:style w:type="paragraph" w:styleId="1064" w:customStyle="1">
    <w:name w:val="Char"/>
    <w:basedOn w:val="742"/>
    <w:qFormat/>
    <w:pPr>
      <w:spacing w:line="360" w:lineRule="auto"/>
    </w:pPr>
    <w:rPr>
      <w:rFonts w:ascii="Tahoma" w:hAnsi="Tahoma" w:eastAsia="宋体"/>
      <w:sz w:val="24"/>
      <w:szCs w:val="24"/>
    </w:rPr>
  </w:style>
  <w:style w:type="paragraph" w:styleId="1065" w:customStyle="1">
    <w:name w:val="目录 21"/>
    <w:basedOn w:val="722"/>
    <w:next w:val="722"/>
    <w:uiPriority w:val="39"/>
    <w:unhideWhenUsed/>
    <w:qFormat/>
    <w:pPr>
      <w:ind w:left="283"/>
      <w:spacing w:after="57"/>
    </w:pPr>
  </w:style>
  <w:style w:type="paragraph" w:styleId="1066" w:customStyle="1">
    <w:name w:val="纯文本1"/>
    <w:basedOn w:val="722"/>
    <w:qFormat/>
    <w:rPr>
      <w:rFonts w:ascii="宋体" w:hAnsi="Courier New" w:eastAsia="楷体_GB2312"/>
      <w:sz w:val="28"/>
      <w:szCs w:val="20"/>
    </w:rPr>
  </w:style>
  <w:style w:type="paragraph" w:styleId="1067" w:customStyle="1">
    <w:name w:val="HTML 预设格式1"/>
    <w:basedOn w:val="722"/>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068" w:customStyle="1">
    <w:name w:val="xl72"/>
    <w:basedOn w:val="722"/>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069" w:customStyle="1">
    <w:name w:val="font8"/>
    <w:basedOn w:val="722"/>
    <w:qFormat/>
    <w:pPr>
      <w:spacing w:before="100" w:beforeAutospacing="1" w:after="100" w:afterAutospacing="1"/>
    </w:pPr>
    <w:rPr>
      <w:rFonts w:ascii="Arial" w:hAnsi="Arial" w:cs="Arial"/>
      <w:sz w:val="22"/>
      <w:szCs w:val="22"/>
    </w:rPr>
  </w:style>
  <w:style w:type="paragraph" w:styleId="1070" w:customStyle="1">
    <w:name w:val="font7"/>
    <w:basedOn w:val="722"/>
    <w:qFormat/>
    <w:pPr>
      <w:spacing w:before="100" w:beforeAutospacing="1" w:after="100" w:afterAutospacing="1"/>
    </w:pPr>
    <w:rPr>
      <w:rFonts w:ascii="宋体" w:hAnsi="宋体" w:cs="宋体"/>
      <w:sz w:val="18"/>
      <w:szCs w:val="18"/>
    </w:rPr>
  </w:style>
  <w:style w:type="paragraph" w:styleId="1071" w:customStyle="1">
    <w:name w:val="_Style 59"/>
    <w:basedOn w:val="722"/>
    <w:next w:val="722"/>
    <w:qFormat/>
    <w:pPr>
      <w:spacing w:after="200"/>
    </w:pPr>
    <w:rPr>
      <w:rFonts w:ascii="Tahoma" w:hAnsi="Tahoma"/>
      <w:sz w:val="22"/>
    </w:rPr>
  </w:style>
  <w:style w:type="paragraph" w:styleId="1072" w:customStyle="1">
    <w:name w:val="Char Char Char1 Char Char Char Char"/>
    <w:basedOn w:val="722"/>
    <w:qFormat/>
    <w:pPr>
      <w:spacing w:line="240" w:lineRule="exact"/>
    </w:pPr>
    <w:rPr>
      <w:sz w:val="24"/>
    </w:rPr>
  </w:style>
  <w:style w:type="paragraph" w:styleId="1073" w:customStyle="1">
    <w:name w:val="Andy_正文"/>
    <w:basedOn w:val="722"/>
    <w:qFormat/>
    <w:pPr>
      <w:ind w:firstLine="480"/>
      <w:spacing w:line="360" w:lineRule="auto"/>
    </w:pPr>
    <w:rPr>
      <w:sz w:val="24"/>
    </w:rPr>
  </w:style>
  <w:style w:type="paragraph" w:styleId="1074" w:customStyle="1">
    <w:name w:val="List Paragraph1"/>
    <w:basedOn w:val="722"/>
    <w:qFormat/>
    <w:pPr>
      <w:ind w:left="720"/>
    </w:pPr>
    <w:rPr>
      <w:sz w:val="24"/>
      <w:lang w:eastAsia="en-US"/>
    </w:rPr>
  </w:style>
  <w:style w:type="paragraph" w:styleId="1075" w:customStyle="1">
    <w:name w:val="Sangría 1"/>
    <w:basedOn w:val="722"/>
    <w:uiPriority w:val="99"/>
    <w:qFormat/>
    <w:pPr>
      <w:ind w:left="993" w:hanging="1764"/>
      <w:spacing w:before="80" w:after="80"/>
      <w:tabs>
        <w:tab w:val="left" w:pos="993" w:leader="none"/>
        <w:tab w:val="left" w:pos="1764" w:leader="none"/>
        <w:tab w:val="right" w:pos="7513" w:leader="none"/>
      </w:tabs>
    </w:pPr>
    <w:rPr>
      <w:rFonts w:ascii="Verdana" w:hAnsi="Verdana" w:eastAsia="Times New Roman"/>
      <w:sz w:val="18"/>
      <w:szCs w:val="20"/>
      <w:lang w:val="en-GB"/>
    </w:rPr>
  </w:style>
  <w:style w:type="paragraph" w:styleId="1076" w:customStyle="1">
    <w:name w:val="xl4842"/>
    <w:basedOn w:val="72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无间隔1"/>
    <w:qFormat/>
    <w:pPr>
      <w:jc w:val="both"/>
      <w:spacing w:after="160" w:line="278" w:lineRule="auto"/>
      <w:widowControl w:val="off"/>
    </w:pPr>
    <w:rPr>
      <w:sz w:val="21"/>
      <w:szCs w:val="22"/>
    </w:rPr>
  </w:style>
  <w:style w:type="paragraph" w:styleId="1078" w:customStyle="1">
    <w:name w:val="p16"/>
    <w:basedOn w:val="722"/>
    <w:qFormat/>
    <w:pPr>
      <w:ind w:left="420"/>
      <w:spacing w:after="120" w:line="480" w:lineRule="auto"/>
    </w:pPr>
    <w:rPr>
      <w:szCs w:val="21"/>
    </w:rPr>
  </w:style>
  <w:style w:type="paragraph" w:styleId="1079" w:customStyle="1">
    <w:name w:val="xl4838"/>
    <w:basedOn w:val="722"/>
    <w:qFormat/>
    <w:pPr>
      <w:jc w:val="center"/>
      <w:spacing w:before="100" w:beforeAutospacing="1" w:after="100" w:afterAutospacing="1"/>
    </w:pPr>
    <w:rPr>
      <w:rFonts w:ascii="宋体" w:hAnsi="宋体" w:cs="宋体"/>
      <w:sz w:val="20"/>
      <w:szCs w:val="20"/>
    </w:rPr>
  </w:style>
  <w:style w:type="paragraph" w:styleId="1080" w:customStyle="1">
    <w:name w:val="xl4839"/>
    <w:basedOn w:val="722"/>
    <w:qFormat/>
    <w:pPr>
      <w:spacing w:before="100" w:beforeAutospacing="1" w:after="100" w:afterAutospacing="1"/>
    </w:pPr>
    <w:rPr>
      <w:rFonts w:ascii="宋体" w:hAnsi="宋体" w:cs="宋体"/>
      <w:sz w:val="20"/>
      <w:szCs w:val="20"/>
    </w:rPr>
  </w:style>
  <w:style w:type="paragraph" w:styleId="1081" w:customStyle="1">
    <w:name w:val="样式 表格正文 + 两端对齐"/>
    <w:basedOn w:val="722"/>
    <w:qFormat/>
    <w:pPr>
      <w:spacing w:line="300" w:lineRule="auto"/>
    </w:pPr>
    <w:rPr>
      <w:sz w:val="24"/>
      <w:szCs w:val="20"/>
    </w:rPr>
  </w:style>
  <w:style w:type="paragraph" w:styleId="1082" w:customStyle="1">
    <w:name w:val="xl66"/>
    <w:basedOn w:val="7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3" w:customStyle="1">
    <w:name w:val="正文首行缩进 21"/>
    <w:basedOn w:val="1036"/>
    <w:qFormat/>
    <w:pPr>
      <w:ind w:firstLine="420"/>
    </w:pPr>
    <w:rPr>
      <w:rFonts w:eastAsia="楷体_GB2312"/>
      <w:sz w:val="28"/>
    </w:rPr>
  </w:style>
  <w:style w:type="paragraph" w:styleId="1084" w:customStyle="1">
    <w:name w:val="Style1"/>
    <w:basedOn w:val="722"/>
    <w:qFormat/>
    <w:pPr>
      <w:tabs>
        <w:tab w:val="left" w:pos="-720" w:leader="none"/>
      </w:tabs>
    </w:pPr>
    <w:rPr>
      <w:spacing w:val="-3"/>
      <w:sz w:val="24"/>
      <w:lang w:val="en-AU" w:eastAsia="en-US"/>
    </w:rPr>
  </w:style>
  <w:style w:type="paragraph" w:styleId="1085" w:customStyle="1">
    <w:name w:val="页脚11"/>
    <w:basedOn w:val="722"/>
    <w:uiPriority w:val="99"/>
    <w:qFormat/>
    <w:pPr>
      <w:tabs>
        <w:tab w:val="center" w:pos="4153" w:leader="none"/>
        <w:tab w:val="right" w:pos="8306" w:leader="none"/>
      </w:tabs>
    </w:pPr>
    <w:rPr>
      <w:sz w:val="18"/>
      <w:szCs w:val="18"/>
    </w:rPr>
  </w:style>
  <w:style w:type="paragraph" w:styleId="1086" w:customStyle="1">
    <w:name w:val="xl4836"/>
    <w:basedOn w:val="72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xl75"/>
    <w:basedOn w:val="722"/>
    <w:qFormat/>
    <w:pP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color w:val="000000"/>
      <w:szCs w:val="21"/>
    </w:rPr>
  </w:style>
  <w:style w:type="paragraph" w:styleId="1088" w:customStyle="1">
    <w:name w:val="引文目录1"/>
    <w:basedOn w:val="722"/>
    <w:next w:val="722"/>
    <w:qFormat/>
    <w:pPr>
      <w:ind w:left="420"/>
    </w:pPr>
  </w:style>
  <w:style w:type="paragraph" w:styleId="1089" w:customStyle="1">
    <w:name w:val="公文"/>
    <w:basedOn w:val="722"/>
    <w:qFormat/>
    <w:pPr>
      <w:ind w:firstLine="420"/>
      <w:spacing w:line="560" w:lineRule="exact"/>
    </w:pPr>
    <w:rPr>
      <w:rFonts w:ascii="仿宋_GB2312" w:hAnsi="仿宋_GB2312" w:eastAsia="仿宋_GB2312"/>
      <w:sz w:val="32"/>
    </w:rPr>
  </w:style>
  <w:style w:type="paragraph" w:styleId="1090" w:customStyle="1">
    <w:name w:val="规范正文"/>
    <w:basedOn w:val="722"/>
    <w:qFormat/>
    <w:pPr>
      <w:ind w:left="480"/>
      <w:spacing w:line="360" w:lineRule="auto"/>
    </w:pPr>
    <w:rPr>
      <w:sz w:val="24"/>
      <w:szCs w:val="20"/>
    </w:rPr>
  </w:style>
  <w:style w:type="paragraph" w:styleId="1091" w:customStyle="1">
    <w:name w:val="Char Char Char11"/>
    <w:basedOn w:val="722"/>
    <w:qFormat/>
  </w:style>
  <w:style w:type="paragraph" w:styleId="1092" w:customStyle="1">
    <w:name w:val="BodyTextIndent1"/>
    <w:basedOn w:val="722"/>
    <w:qFormat/>
    <w:pPr>
      <w:ind w:firstLine="560"/>
      <w:spacing w:line="300" w:lineRule="auto"/>
    </w:pPr>
    <w:rPr>
      <w:sz w:val="28"/>
    </w:rPr>
  </w:style>
  <w:style w:type="paragraph" w:styleId="1093" w:customStyle="1">
    <w:name w:val="Char Char1 Char Char Char Char Char Char Char"/>
    <w:basedOn w:val="722"/>
    <w:qFormat/>
    <w:rPr>
      <w:szCs w:val="20"/>
    </w:rPr>
  </w:style>
  <w:style w:type="paragraph" w:styleId="1094" w:customStyle="1">
    <w:name w:val="Default"/>
    <w:qFormat/>
    <w:pPr>
      <w:spacing w:after="160" w:line="278" w:lineRule="auto"/>
      <w:widowControl w:val="off"/>
    </w:pPr>
    <w:rPr>
      <w:rFonts w:ascii="黑体" w:eastAsia="黑体" w:cs="黑体"/>
      <w:color w:val="000000"/>
      <w:sz w:val="24"/>
      <w:szCs w:val="24"/>
    </w:rPr>
  </w:style>
  <w:style w:type="paragraph" w:styleId="1095" w:customStyle="1">
    <w:name w:val="默认段落字体 Para Char Char Char Char Char Char Char Char Char1 Char Char Char Char"/>
    <w:basedOn w:val="722"/>
    <w:qFormat/>
    <w:rPr>
      <w:rFonts w:ascii="Tahoma" w:hAnsi="Tahoma"/>
      <w:sz w:val="24"/>
      <w:szCs w:val="20"/>
    </w:rPr>
  </w:style>
  <w:style w:type="paragraph" w:styleId="1096" w:customStyle="1">
    <w:name w:val="xl4834"/>
    <w:basedOn w:val="722"/>
    <w:qFormat/>
    <w:pPr>
      <w:spacing w:before="100" w:beforeAutospacing="1" w:after="100" w:afterAutospacing="1"/>
    </w:pPr>
    <w:rPr>
      <w:rFonts w:ascii="宋体" w:hAnsi="宋体" w:cs="宋体"/>
      <w:sz w:val="20"/>
      <w:szCs w:val="20"/>
    </w:rPr>
  </w:style>
  <w:style w:type="paragraph" w:styleId="1097" w:customStyle="1">
    <w:name w:val="HTML 预设格式11"/>
    <w:basedOn w:val="722"/>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098" w:customStyle="1">
    <w:name w:val="Char Char1"/>
    <w:basedOn w:val="722"/>
    <w:qFormat/>
    <w:pPr>
      <w:spacing w:line="240" w:lineRule="exact"/>
    </w:pPr>
    <w:rPr>
      <w:rFonts w:ascii="Verdana" w:hAnsi="Verdana"/>
      <w:sz w:val="20"/>
      <w:szCs w:val="20"/>
      <w:lang w:eastAsia="en-US"/>
    </w:rPr>
  </w:style>
  <w:style w:type="paragraph" w:styleId="1099" w:customStyle="1">
    <w:name w:val="文档结构图1"/>
    <w:basedOn w:val="722"/>
    <w:semiHidden/>
    <w:qFormat/>
    <w:pPr>
      <w:shd w:val="clear" w:color="auto" w:fill="000080"/>
    </w:pPr>
  </w:style>
  <w:style w:type="paragraph" w:styleId="1100" w:customStyle="1">
    <w:name w:val="_正文段落"/>
    <w:basedOn w:val="722"/>
    <w:qFormat/>
    <w:pPr>
      <w:ind w:firstLine="480"/>
    </w:pPr>
    <w:rPr>
      <w:rFonts w:ascii="宋体" w:hAnsi="宋体"/>
      <w:sz w:val="24"/>
    </w:rPr>
  </w:style>
  <w:style w:type="paragraph" w:styleId="1101" w:customStyle="1">
    <w:name w:val="p3"/>
    <w:basedOn w:val="722"/>
    <w:qFormat/>
    <w:pPr>
      <w:spacing w:before="100" w:beforeAutospacing="1" w:after="100" w:afterAutospacing="1"/>
    </w:pPr>
    <w:rPr>
      <w:rFonts w:ascii="宋体" w:hAnsi="宋体" w:cs="宋体"/>
      <w:sz w:val="24"/>
    </w:rPr>
  </w:style>
  <w:style w:type="paragraph" w:styleId="1102" w:customStyle="1">
    <w:name w:val="xl65"/>
    <w:basedOn w:val="7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18"/>
      <w:szCs w:val="18"/>
    </w:rPr>
  </w:style>
  <w:style w:type="paragraph" w:styleId="1103" w:customStyle="1">
    <w:name w:val="列出段落5"/>
    <w:basedOn w:val="722"/>
    <w:uiPriority w:val="99"/>
    <w:qFormat/>
    <w:pPr>
      <w:ind w:firstLine="420"/>
    </w:pPr>
    <w:rPr>
      <w:sz w:val="24"/>
    </w:rPr>
  </w:style>
  <w:style w:type="paragraph" w:styleId="1104" w:customStyle="1">
    <w:name w:val="Char1"/>
    <w:basedOn w:val="722"/>
    <w:qFormat/>
    <w:pPr>
      <w:ind w:left="-62" w:right="36"/>
      <w:spacing w:line="240" w:lineRule="exact"/>
    </w:pPr>
    <w:rPr>
      <w:rFonts w:ascii="Arial" w:hAnsi="Arial" w:eastAsia="Times New Roman"/>
      <w:sz w:val="20"/>
      <w:szCs w:val="20"/>
      <w:lang w:eastAsia="en-US"/>
    </w:rPr>
  </w:style>
  <w:style w:type="paragraph" w:styleId="1105" w:customStyle="1">
    <w:name w:val="TOC 标题1"/>
    <w:uiPriority w:val="39"/>
    <w:unhideWhenUsed/>
    <w:qFormat/>
    <w:pPr>
      <w:spacing w:after="160" w:line="278" w:lineRule="auto"/>
    </w:pPr>
  </w:style>
  <w:style w:type="paragraph" w:styleId="1106" w:customStyle="1">
    <w:name w:val="正文 New New New New"/>
    <w:qFormat/>
    <w:pPr>
      <w:jc w:val="both"/>
      <w:spacing w:after="160" w:line="278" w:lineRule="auto"/>
      <w:widowControl w:val="off"/>
    </w:pPr>
    <w:rPr>
      <w:sz w:val="21"/>
      <w:szCs w:val="24"/>
    </w:rPr>
  </w:style>
  <w:style w:type="paragraph" w:styleId="1107" w:customStyle="1">
    <w:name w:val="Table Paragraph"/>
    <w:basedOn w:val="722"/>
    <w:uiPriority w:val="1"/>
    <w:qFormat/>
    <w:rPr>
      <w:rFonts w:ascii="仿宋" w:hAnsi="仿宋" w:eastAsia="仿宋" w:cs="仿宋"/>
      <w:lang w:val="zh-CN" w:bidi="zh-CN"/>
    </w:rPr>
  </w:style>
  <w:style w:type="paragraph" w:styleId="1108" w:customStyle="1">
    <w:name w:val="+正文"/>
    <w:basedOn w:val="722"/>
    <w:qFormat/>
    <w:pPr>
      <w:ind w:firstLine="200"/>
    </w:pPr>
    <w:rPr>
      <w:sz w:val="24"/>
    </w:rPr>
  </w:style>
  <w:style w:type="paragraph" w:styleId="1109" w:customStyle="1">
    <w:name w:val="1"/>
    <w:basedOn w:val="722"/>
    <w:qFormat/>
    <w:pPr>
      <w:spacing w:line="240" w:lineRule="exact"/>
    </w:pPr>
    <w:rPr>
      <w:rFonts w:ascii="Verdana" w:hAnsi="Verdana"/>
      <w:sz w:val="20"/>
      <w:szCs w:val="20"/>
      <w:lang w:eastAsia="en-US"/>
    </w:rPr>
  </w:style>
  <w:style w:type="paragraph" w:styleId="1110" w:customStyle="1">
    <w:name w:val="xl4841"/>
    <w:basedOn w:val="72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修订1"/>
    <w:uiPriority w:val="99"/>
    <w:unhideWhenUsed/>
    <w:qFormat/>
    <w:pPr>
      <w:spacing w:after="160" w:line="278" w:lineRule="auto"/>
    </w:pPr>
    <w:rPr>
      <w:sz w:val="21"/>
      <w:szCs w:val="24"/>
    </w:rPr>
  </w:style>
  <w:style w:type="paragraph" w:styleId="1112" w:customStyle="1">
    <w:name w:val="列出段落2"/>
    <w:basedOn w:val="722"/>
    <w:uiPriority w:val="34"/>
    <w:qFormat/>
    <w:pPr>
      <w:ind w:firstLine="200"/>
    </w:pPr>
  </w:style>
  <w:style w:type="paragraph" w:styleId="1113" w:customStyle="1">
    <w:name w:val="xl26"/>
    <w:basedOn w:val="722"/>
    <w:qFormat/>
    <w:pPr>
      <w:jc w:val="center"/>
      <w:spacing w:before="100" w:beforeAutospacing="1" w:after="100" w:afterAutospacing="1"/>
    </w:pPr>
    <w:rPr>
      <w:rFonts w:ascii="宋体" w:hAnsi="宋体"/>
      <w:sz w:val="24"/>
    </w:rPr>
  </w:style>
  <w:style w:type="paragraph" w:styleId="1114" w:customStyle="1">
    <w:name w:val="xl68"/>
    <w:basedOn w:val="72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18"/>
      <w:szCs w:val="18"/>
    </w:rPr>
  </w:style>
  <w:style w:type="paragraph" w:styleId="1115" w:customStyle="1">
    <w:name w:val="xl71"/>
    <w:basedOn w:val="722"/>
    <w:qFormat/>
    <w:pPr>
      <w:jc w:val="center"/>
      <w:spacing w:before="100" w:beforeAutospacing="1" w:after="100" w:afterAutospacing="1"/>
      <w:shd w:val="clear" w:color="ff0000" w:fill="ffffff"/>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16" w:customStyle="1">
    <w:name w:val="标题2"/>
    <w:basedOn w:val="724"/>
    <w:qFormat/>
    <w:pPr>
      <w:spacing w:before="0" w:after="0" w:line="413" w:lineRule="auto"/>
    </w:pPr>
    <w:rPr>
      <w:rFonts w:ascii="Cambria" w:hAnsi="Cambria" w:eastAsia="宋体"/>
      <w:b/>
      <w:bCs/>
      <w:sz w:val="32"/>
      <w:szCs w:val="32"/>
    </w:rPr>
  </w:style>
  <w:style w:type="paragraph" w:styleId="1117" w:customStyle="1">
    <w:name w:val="TableOfAuthoring1"/>
    <w:basedOn w:val="722"/>
    <w:next w:val="722"/>
    <w:qFormat/>
    <w:pPr>
      <w:ind w:left="420"/>
    </w:pPr>
    <w:rPr>
      <w:rFonts w:eastAsia="楷体_GB2312"/>
    </w:rPr>
  </w:style>
  <w:style w:type="paragraph" w:styleId="1118" w:customStyle="1">
    <w:name w:val="寄信人地址1"/>
    <w:basedOn w:val="722"/>
    <w:qFormat/>
    <w:rPr>
      <w:rFonts w:ascii="Arial" w:hAnsi="Arial" w:cs="Arial"/>
    </w:rPr>
  </w:style>
  <w:style w:type="paragraph" w:styleId="1119" w:customStyle="1">
    <w:name w:val="xl67"/>
    <w:basedOn w:val="72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0" w:customStyle="1">
    <w:name w:val="luzhi 正文"/>
    <w:basedOn w:val="722"/>
    <w:qFormat/>
    <w:pPr>
      <w:ind w:firstLine="560"/>
      <w:spacing w:line="360" w:lineRule="auto"/>
    </w:pPr>
    <w:rPr>
      <w:rFonts w:hAnsi="宋体" w:cs="宋体"/>
      <w:sz w:val="28"/>
      <w:szCs w:val="20"/>
    </w:rPr>
  </w:style>
  <w:style w:type="paragraph" w:styleId="1121" w:customStyle="1">
    <w:name w:val="Char Char"/>
    <w:basedOn w:val="722"/>
    <w:qFormat/>
    <w:pPr>
      <w:ind w:firstLine="200"/>
      <w:spacing w:line="360" w:lineRule="auto"/>
    </w:pPr>
    <w:rPr>
      <w:rFonts w:eastAsia="楷体_GB2312"/>
      <w:sz w:val="28"/>
      <w:szCs w:val="20"/>
    </w:rPr>
  </w:style>
  <w:style w:type="paragraph" w:styleId="1122" w:customStyle="1">
    <w:name w:val="Body text|1"/>
    <w:basedOn w:val="722"/>
    <w:qFormat/>
    <w:pPr>
      <w:ind w:left="190" w:firstLine="650"/>
      <w:spacing w:after="270" w:line="590" w:lineRule="exact"/>
    </w:pPr>
    <w:rPr>
      <w:rFonts w:ascii="宋体" w:hAnsi="宋体" w:cs="宋体"/>
      <w:sz w:val="20"/>
      <w:szCs w:val="22"/>
      <w:lang w:val="zh-TW" w:eastAsia="zh-TW" w:bidi="zh-TW"/>
    </w:rPr>
  </w:style>
  <w:style w:type="paragraph" w:styleId="1123" w:customStyle="1">
    <w:name w:val="目录 11"/>
    <w:basedOn w:val="722"/>
    <w:next w:val="722"/>
    <w:uiPriority w:val="39"/>
    <w:unhideWhenUsed/>
    <w:qFormat/>
    <w:rPr>
      <w:rFonts w:eastAsia="楷体_GB2312"/>
      <w:sz w:val="24"/>
      <w:szCs w:val="20"/>
    </w:rPr>
  </w:style>
  <w:style w:type="paragraph" w:styleId="1124" w:customStyle="1">
    <w:name w:val="纯文本21"/>
    <w:basedOn w:val="722"/>
    <w:qFormat/>
    <w:rPr>
      <w:rFonts w:ascii="宋体" w:hAnsi="Courier New"/>
    </w:rPr>
  </w:style>
  <w:style w:type="paragraph" w:styleId="1125" w:customStyle="1">
    <w:name w:val="xl76"/>
    <w:basedOn w:val="722"/>
    <w:qFormat/>
    <w:pP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color w:val="000000"/>
      <w:szCs w:val="21"/>
    </w:rPr>
  </w:style>
  <w:style w:type="paragraph" w:styleId="1126" w:customStyle="1">
    <w:name w:val="font12"/>
    <w:basedOn w:val="722"/>
    <w:qFormat/>
    <w:pPr>
      <w:spacing w:before="100" w:beforeAutospacing="1" w:after="100" w:afterAutospacing="1"/>
    </w:pPr>
    <w:rPr>
      <w:rFonts w:ascii="宋体" w:hAnsi="宋体" w:cs="宋体"/>
      <w:sz w:val="18"/>
      <w:szCs w:val="18"/>
    </w:rPr>
  </w:style>
  <w:style w:type="paragraph" w:styleId="1127" w:customStyle="1">
    <w:name w:val="xl4837"/>
    <w:basedOn w:val="72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8" w:customStyle="1">
    <w:name w:val="font9"/>
    <w:basedOn w:val="722"/>
    <w:qFormat/>
    <w:pPr>
      <w:spacing w:before="100" w:beforeAutospacing="1" w:after="100" w:afterAutospacing="1"/>
    </w:pPr>
    <w:rPr>
      <w:rFonts w:ascii="宋体" w:hAnsi="宋体" w:cs="宋体"/>
      <w:color w:val="dbeef3"/>
      <w:sz w:val="18"/>
      <w:szCs w:val="18"/>
    </w:rPr>
  </w:style>
  <w:style w:type="paragraph" w:styleId="1129" w:customStyle="1">
    <w:name w:val="font5"/>
    <w:basedOn w:val="722"/>
    <w:qFormat/>
    <w:pPr>
      <w:spacing w:before="100" w:beforeAutospacing="1" w:after="100" w:afterAutospacing="1"/>
    </w:pPr>
    <w:rPr>
      <w:rFonts w:ascii="宋体" w:hAnsi="宋体" w:cs="宋体"/>
      <w:color w:val="dbeef3"/>
      <w:sz w:val="18"/>
      <w:szCs w:val="18"/>
    </w:rPr>
  </w:style>
  <w:style w:type="paragraph" w:styleId="1130" w:customStyle="1">
    <w:name w:val="标题L"/>
    <w:basedOn w:val="722"/>
    <w:qFormat/>
    <w:pPr>
      <w:jc w:val="center"/>
      <w:spacing w:line="520" w:lineRule="exact"/>
    </w:pPr>
    <w:rPr>
      <w:rFonts w:eastAsia="文鼎大标宋简"/>
      <w:sz w:val="36"/>
      <w:szCs w:val="20"/>
    </w:rPr>
  </w:style>
  <w:style w:type="paragraph" w:styleId="1131" w:customStyle="1">
    <w:name w:val="纯文本8"/>
    <w:basedOn w:val="722"/>
    <w:qFormat/>
    <w:rPr>
      <w:rFonts w:ascii="宋体" w:hAnsi="Courier New"/>
    </w:rPr>
  </w:style>
  <w:style w:type="paragraph" w:styleId="1132" w:customStyle="1">
    <w:name w:val="Char Char Char Char"/>
    <w:basedOn w:val="722"/>
    <w:pPr>
      <w:ind w:firstLine="200"/>
      <w:spacing w:line="360" w:lineRule="auto"/>
    </w:pPr>
    <w:rPr>
      <w:rFonts w:ascii="Tahoma" w:hAnsi="Tahoma"/>
      <w:sz w:val="24"/>
      <w:szCs w:val="20"/>
    </w:rPr>
  </w:style>
  <w:style w:type="paragraph" w:styleId="1133" w:customStyle="1">
    <w:name w:val="xl4840"/>
    <w:basedOn w:val="722"/>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4" w:customStyle="1">
    <w:name w:val="Char2"/>
    <w:basedOn w:val="722"/>
    <w:qFormat/>
    <w:rPr>
      <w:rFonts w:ascii="仿宋_GB2312" w:eastAsia="仿宋_GB2312"/>
      <w:b/>
      <w:sz w:val="32"/>
      <w:szCs w:val="32"/>
    </w:rPr>
  </w:style>
  <w:style w:type="paragraph" w:styleId="1135" w:customStyle="1">
    <w:name w:val="PlainText1"/>
    <w:basedOn w:val="722"/>
    <w:qFormat/>
    <w:rPr>
      <w:rFonts w:ascii="宋体" w:hAnsi="Courier New" w:eastAsia="楷体_GB2312"/>
      <w:sz w:val="26"/>
    </w:rPr>
  </w:style>
  <w:style w:type="paragraph" w:styleId="1136" w:customStyle="1">
    <w:name w:val="纯文本6"/>
    <w:basedOn w:val="722"/>
    <w:qFormat/>
    <w:rPr>
      <w:rFonts w:ascii="宋体" w:hAnsi="Courier New" w:eastAsia="楷体_GB2312"/>
      <w:sz w:val="26"/>
      <w:szCs w:val="20"/>
    </w:rPr>
  </w:style>
  <w:style w:type="paragraph" w:styleId="1137" w:customStyle="1">
    <w:name w:val="xl4843"/>
    <w:basedOn w:val="722"/>
    <w:qFormat/>
    <w:pPr>
      <w:spacing w:before="100" w:beforeAutospacing="1" w:after="100" w:afterAutospacing="1"/>
    </w:pPr>
    <w:rPr>
      <w:rFonts w:ascii="宋体" w:hAnsi="宋体" w:cs="宋体"/>
      <w:sz w:val="20"/>
      <w:szCs w:val="20"/>
    </w:rPr>
  </w:style>
  <w:style w:type="paragraph" w:styleId="1138" w:customStyle="1">
    <w:name w:val="TOC 标题2"/>
    <w:basedOn w:val="723"/>
    <w:next w:val="722"/>
    <w:uiPriority w:val="39"/>
    <w:qFormat/>
    <w:pPr>
      <w:spacing w:before="0" w:after="0" w:line="276" w:lineRule="auto"/>
      <w:tabs>
        <w:tab w:val="left" w:pos="993" w:leader="none"/>
      </w:tabs>
      <w:outlineLvl w:val="9"/>
    </w:pPr>
    <w:rPr>
      <w:rFonts w:ascii="Cambria" w:hAnsi="Cambria" w:eastAsia="宋体"/>
      <w:b/>
      <w:bCs/>
      <w:color w:val="365f91"/>
      <w:sz w:val="28"/>
      <w:szCs w:val="28"/>
    </w:rPr>
  </w:style>
  <w:style w:type="paragraph" w:styleId="1139" w:customStyle="1">
    <w:name w:val="p0"/>
    <w:basedOn w:val="722"/>
    <w:qFormat/>
    <w:rPr>
      <w:rFonts w:ascii="宋体" w:hAnsi="宋体" w:cs="宋体"/>
      <w:sz w:val="24"/>
    </w:rPr>
  </w:style>
  <w:style w:type="table" w:styleId="1140" w:customStyle="1">
    <w:name w:val="List Table 4 - Accent 1"/>
    <w:uiPriority w:val="99"/>
    <w:qFormat/>
    <w:pPr>
      <w:spacing w:after="160" w:line="278" w:lineRule="auto"/>
    </w:pPr>
    <w:tblPr>
      <w:tblCellMar>
        <w:left w:w="0" w:type="dxa"/>
        <w:top w:w="0" w:type="dxa"/>
        <w:right w:w="0" w:type="dxa"/>
        <w:bottom w:w="0" w:type="dxa"/>
      </w:tblCellMar>
    </w:tblPr>
  </w:style>
  <w:style w:type="table" w:styleId="1141" w:customStyle="1">
    <w:name w:val="Bordered &amp; Lined - Accent 4"/>
    <w:uiPriority w:val="99"/>
    <w:qFormat/>
    <w:pPr>
      <w:spacing w:after="160" w:line="278" w:lineRule="auto"/>
    </w:pPr>
    <w:rPr>
      <w:color w:val="404040"/>
    </w:rPr>
    <w:tblPr>
      <w:tblCellMar>
        <w:left w:w="0" w:type="dxa"/>
        <w:top w:w="0" w:type="dxa"/>
        <w:right w:w="0" w:type="dxa"/>
        <w:bottom w:w="0" w:type="dxa"/>
      </w:tblCellMar>
    </w:tblPr>
  </w:style>
  <w:style w:type="table" w:styleId="1142" w:customStyle="1">
    <w:name w:val="List Table 4 - Accent 6"/>
    <w:uiPriority w:val="99"/>
    <w:qFormat/>
    <w:pPr>
      <w:spacing w:after="160" w:line="278" w:lineRule="auto"/>
    </w:pPr>
    <w:tblPr>
      <w:tblCellMar>
        <w:left w:w="0" w:type="dxa"/>
        <w:top w:w="0" w:type="dxa"/>
        <w:right w:w="0" w:type="dxa"/>
        <w:bottom w:w="0" w:type="dxa"/>
      </w:tblCellMar>
    </w:tblPr>
  </w:style>
  <w:style w:type="table" w:styleId="1143" w:customStyle="1">
    <w:name w:val="List Table 2 - Accent 5"/>
    <w:uiPriority w:val="99"/>
    <w:qFormat/>
    <w:pPr>
      <w:spacing w:after="160" w:line="278" w:lineRule="auto"/>
    </w:pPr>
    <w:tblPr>
      <w:tblCellMar>
        <w:left w:w="0" w:type="dxa"/>
        <w:top w:w="0" w:type="dxa"/>
        <w:right w:w="0" w:type="dxa"/>
        <w:bottom w:w="0" w:type="dxa"/>
      </w:tblCellMar>
    </w:tblPr>
  </w:style>
  <w:style w:type="table" w:styleId="1144" w:customStyle="1">
    <w:name w:val="无格式表格 41"/>
    <w:uiPriority w:val="99"/>
    <w:qFormat/>
    <w:pPr>
      <w:spacing w:after="160" w:line="278" w:lineRule="auto"/>
    </w:pPr>
    <w:tblPr>
      <w:tblCellMar>
        <w:left w:w="0" w:type="dxa"/>
        <w:top w:w="0" w:type="dxa"/>
        <w:right w:w="0" w:type="dxa"/>
        <w:bottom w:w="0" w:type="dxa"/>
      </w:tblCellMar>
    </w:tblPr>
  </w:style>
  <w:style w:type="table" w:styleId="1145" w:customStyle="1">
    <w:name w:val="Grid Table 4 - Accent 5"/>
    <w:uiPriority w:val="59"/>
    <w:qFormat/>
    <w:pPr>
      <w:spacing w:after="160" w:line="278" w:lineRule="auto"/>
    </w:pPr>
    <w:tblPr>
      <w:tblCellMar>
        <w:left w:w="0" w:type="dxa"/>
        <w:top w:w="0" w:type="dxa"/>
        <w:right w:w="0" w:type="dxa"/>
        <w:bottom w:w="0" w:type="dxa"/>
      </w:tblCellMar>
    </w:tblPr>
  </w:style>
  <w:style w:type="table" w:styleId="1146" w:customStyle="1">
    <w:name w:val="Bordered - Accent 3"/>
    <w:uiPriority w:val="99"/>
    <w:qFormat/>
    <w:pPr>
      <w:spacing w:after="160" w:line="278" w:lineRule="auto"/>
    </w:pPr>
    <w:tblPr>
      <w:tblCellMar>
        <w:left w:w="0" w:type="dxa"/>
        <w:top w:w="0" w:type="dxa"/>
        <w:right w:w="0" w:type="dxa"/>
        <w:bottom w:w="0" w:type="dxa"/>
      </w:tblCellMar>
    </w:tblPr>
  </w:style>
  <w:style w:type="table" w:styleId="1147" w:customStyle="1">
    <w:name w:val="Grid Table 2 - Accent 5"/>
    <w:uiPriority w:val="99"/>
    <w:qFormat/>
    <w:pPr>
      <w:spacing w:after="160" w:line="278" w:lineRule="auto"/>
    </w:pPr>
    <w:tblPr>
      <w:tblCellMar>
        <w:left w:w="0" w:type="dxa"/>
        <w:top w:w="0" w:type="dxa"/>
        <w:right w:w="0" w:type="dxa"/>
        <w:bottom w:w="0" w:type="dxa"/>
      </w:tblCellMar>
    </w:tblPr>
  </w:style>
  <w:style w:type="table" w:styleId="1148" w:customStyle="1">
    <w:name w:val="List Table 2 - Accent 1"/>
    <w:uiPriority w:val="99"/>
    <w:qFormat/>
    <w:pPr>
      <w:spacing w:after="160" w:line="278" w:lineRule="auto"/>
    </w:pPr>
    <w:tblPr>
      <w:tblCellMar>
        <w:left w:w="0" w:type="dxa"/>
        <w:top w:w="0" w:type="dxa"/>
        <w:right w:w="0" w:type="dxa"/>
        <w:bottom w:w="0" w:type="dxa"/>
      </w:tblCellMar>
    </w:tblPr>
  </w:style>
  <w:style w:type="table" w:styleId="1149" w:customStyle="1">
    <w:name w:val="List Table 4 - Accent 4"/>
    <w:uiPriority w:val="99"/>
    <w:qFormat/>
    <w:pPr>
      <w:spacing w:after="160" w:line="278" w:lineRule="auto"/>
    </w:pPr>
    <w:tblPr>
      <w:tblCellMar>
        <w:left w:w="0" w:type="dxa"/>
        <w:top w:w="0" w:type="dxa"/>
        <w:right w:w="0" w:type="dxa"/>
        <w:bottom w:w="0" w:type="dxa"/>
      </w:tblCellMar>
    </w:tblPr>
  </w:style>
  <w:style w:type="table" w:styleId="1150" w:customStyle="1">
    <w:name w:val="Grid Table 1 Light - Accent 1"/>
    <w:uiPriority w:val="99"/>
    <w:qFormat/>
    <w:pPr>
      <w:spacing w:after="160" w:line="278" w:lineRule="auto"/>
    </w:pPr>
    <w:tblPr>
      <w:tblCellMar>
        <w:left w:w="0" w:type="dxa"/>
        <w:top w:w="0" w:type="dxa"/>
        <w:right w:w="0" w:type="dxa"/>
        <w:bottom w:w="0" w:type="dxa"/>
      </w:tblCellMar>
    </w:tblPr>
  </w:style>
  <w:style w:type="table" w:styleId="1151" w:customStyle="1">
    <w:name w:val="Grid Table 3 - Accent 2"/>
    <w:uiPriority w:val="99"/>
    <w:qFormat/>
    <w:pPr>
      <w:spacing w:after="160" w:line="278" w:lineRule="auto"/>
    </w:pPr>
    <w:tblPr>
      <w:tblCellMar>
        <w:left w:w="0" w:type="dxa"/>
        <w:top w:w="0" w:type="dxa"/>
        <w:right w:w="0" w:type="dxa"/>
        <w:bottom w:w="0" w:type="dxa"/>
      </w:tblCellMar>
    </w:tblPr>
  </w:style>
  <w:style w:type="table" w:styleId="1152" w:customStyle="1">
    <w:name w:val="List Table 2 - Accent 4"/>
    <w:uiPriority w:val="99"/>
    <w:qFormat/>
    <w:pPr>
      <w:spacing w:after="160" w:line="278" w:lineRule="auto"/>
    </w:pPr>
    <w:tblPr>
      <w:tblCellMar>
        <w:left w:w="0" w:type="dxa"/>
        <w:top w:w="0" w:type="dxa"/>
        <w:right w:w="0" w:type="dxa"/>
        <w:bottom w:w="0" w:type="dxa"/>
      </w:tblCellMar>
    </w:tblPr>
  </w:style>
  <w:style w:type="table" w:styleId="1153" w:customStyle="1">
    <w:name w:val="Lined - Accent 3"/>
    <w:uiPriority w:val="99"/>
    <w:qFormat/>
    <w:pPr>
      <w:spacing w:after="160" w:line="278" w:lineRule="auto"/>
    </w:pPr>
    <w:rPr>
      <w:color w:val="404040"/>
    </w:rPr>
    <w:tblPr>
      <w:tblCellMar>
        <w:left w:w="0" w:type="dxa"/>
        <w:top w:w="0" w:type="dxa"/>
        <w:right w:w="0" w:type="dxa"/>
        <w:bottom w:w="0" w:type="dxa"/>
      </w:tblCellMar>
    </w:tblPr>
  </w:style>
  <w:style w:type="table" w:styleId="1154" w:customStyle="1">
    <w:name w:val="List Table 6 Colorful - Accent 5"/>
    <w:uiPriority w:val="99"/>
    <w:qFormat/>
    <w:pPr>
      <w:spacing w:after="160" w:line="278" w:lineRule="auto"/>
    </w:pPr>
    <w:tblPr>
      <w:tblCellMar>
        <w:left w:w="0" w:type="dxa"/>
        <w:top w:w="0" w:type="dxa"/>
        <w:right w:w="0" w:type="dxa"/>
        <w:bottom w:w="0" w:type="dxa"/>
      </w:tblCellMar>
    </w:tblPr>
  </w:style>
  <w:style w:type="table" w:styleId="1155" w:customStyle="1">
    <w:name w:val="无格式表格 31"/>
    <w:uiPriority w:val="99"/>
    <w:qFormat/>
    <w:pPr>
      <w:spacing w:after="160" w:line="278" w:lineRule="auto"/>
    </w:pPr>
    <w:tblPr>
      <w:tblCellMar>
        <w:left w:w="0" w:type="dxa"/>
        <w:top w:w="0" w:type="dxa"/>
        <w:right w:w="0" w:type="dxa"/>
        <w:bottom w:w="0" w:type="dxa"/>
      </w:tblCellMar>
    </w:tblPr>
  </w:style>
  <w:style w:type="table" w:styleId="1156" w:customStyle="1">
    <w:name w:val="Bordered - Accent 4"/>
    <w:uiPriority w:val="99"/>
    <w:qFormat/>
    <w:pPr>
      <w:spacing w:after="160" w:line="278" w:lineRule="auto"/>
    </w:pPr>
    <w:tblPr>
      <w:tblCellMar>
        <w:left w:w="0" w:type="dxa"/>
        <w:top w:w="0" w:type="dxa"/>
        <w:right w:w="0" w:type="dxa"/>
        <w:bottom w:w="0" w:type="dxa"/>
      </w:tblCellMar>
    </w:tblPr>
  </w:style>
  <w:style w:type="table" w:styleId="1157" w:customStyle="1">
    <w:name w:val="Lined - Accent 5"/>
    <w:uiPriority w:val="99"/>
    <w:qFormat/>
    <w:pPr>
      <w:spacing w:after="160" w:line="278" w:lineRule="auto"/>
    </w:pPr>
    <w:rPr>
      <w:color w:val="404040"/>
    </w:rPr>
    <w:tblPr>
      <w:tblCellMar>
        <w:left w:w="0" w:type="dxa"/>
        <w:top w:w="0" w:type="dxa"/>
        <w:right w:w="0" w:type="dxa"/>
        <w:bottom w:w="0" w:type="dxa"/>
      </w:tblCellMar>
    </w:tblPr>
  </w:style>
  <w:style w:type="table" w:styleId="1158" w:customStyle="1">
    <w:name w:val="List Table 3 - Accent 1"/>
    <w:uiPriority w:val="99"/>
    <w:qFormat/>
    <w:pPr>
      <w:spacing w:after="160" w:line="278" w:lineRule="auto"/>
    </w:pPr>
    <w:tblPr>
      <w:tblCellMar>
        <w:left w:w="0" w:type="dxa"/>
        <w:top w:w="0" w:type="dxa"/>
        <w:right w:w="0" w:type="dxa"/>
        <w:bottom w:w="0" w:type="dxa"/>
      </w:tblCellMar>
    </w:tblPr>
  </w:style>
  <w:style w:type="table" w:styleId="1159" w:customStyle="1">
    <w:name w:val="List Table 7 Colorful - Accent 1"/>
    <w:uiPriority w:val="99"/>
    <w:qFormat/>
    <w:pPr>
      <w:spacing w:after="160" w:line="278" w:lineRule="auto"/>
    </w:pPr>
    <w:tblPr>
      <w:tblCellMar>
        <w:left w:w="0" w:type="dxa"/>
        <w:top w:w="0" w:type="dxa"/>
        <w:right w:w="0" w:type="dxa"/>
        <w:bottom w:w="0" w:type="dxa"/>
      </w:tblCellMar>
    </w:tblPr>
  </w:style>
  <w:style w:type="table" w:styleId="1160" w:customStyle="1">
    <w:name w:val="Grid Table 5 Dark - Accent 2"/>
    <w:uiPriority w:val="99"/>
    <w:qFormat/>
    <w:pPr>
      <w:spacing w:after="160" w:line="278" w:lineRule="auto"/>
    </w:pPr>
    <w:tblPr>
      <w:tblCellMar>
        <w:left w:w="0" w:type="dxa"/>
        <w:top w:w="0" w:type="dxa"/>
        <w:right w:w="0" w:type="dxa"/>
        <w:bottom w:w="0" w:type="dxa"/>
      </w:tblCellMar>
    </w:tblPr>
  </w:style>
  <w:style w:type="table" w:styleId="1161" w:customStyle="1">
    <w:name w:val="Grid Table 7 Colorful - Accent 3"/>
    <w:uiPriority w:val="99"/>
    <w:qFormat/>
    <w:pPr>
      <w:spacing w:after="160" w:line="278" w:lineRule="auto"/>
    </w:pPr>
    <w:tblPr>
      <w:tblCellMar>
        <w:left w:w="0" w:type="dxa"/>
        <w:top w:w="0" w:type="dxa"/>
        <w:right w:w="0" w:type="dxa"/>
        <w:bottom w:w="0" w:type="dxa"/>
      </w:tblCellMar>
    </w:tblPr>
  </w:style>
  <w:style w:type="table" w:styleId="1162" w:customStyle="1">
    <w:name w:val="List Table 4 - Accent 2"/>
    <w:uiPriority w:val="99"/>
    <w:qFormat/>
    <w:pPr>
      <w:spacing w:after="160" w:line="278" w:lineRule="auto"/>
    </w:pPr>
    <w:tblPr>
      <w:tblCellMar>
        <w:left w:w="0" w:type="dxa"/>
        <w:top w:w="0" w:type="dxa"/>
        <w:right w:w="0" w:type="dxa"/>
        <w:bottom w:w="0" w:type="dxa"/>
      </w:tblCellMar>
    </w:tblPr>
  </w:style>
  <w:style w:type="table" w:styleId="1163" w:customStyle="1">
    <w:name w:val="Lined - Accent 4"/>
    <w:uiPriority w:val="99"/>
    <w:qFormat/>
    <w:pPr>
      <w:spacing w:after="160" w:line="278" w:lineRule="auto"/>
    </w:pPr>
    <w:rPr>
      <w:color w:val="404040"/>
    </w:rPr>
    <w:tblPr>
      <w:tblCellMar>
        <w:left w:w="0" w:type="dxa"/>
        <w:top w:w="0" w:type="dxa"/>
        <w:right w:w="0" w:type="dxa"/>
        <w:bottom w:w="0" w:type="dxa"/>
      </w:tblCellMar>
    </w:tblPr>
  </w:style>
  <w:style w:type="table" w:styleId="1164" w:customStyle="1">
    <w:name w:val="Grid Table 6 Colorful - Accent 3"/>
    <w:uiPriority w:val="99"/>
    <w:qFormat/>
    <w:pPr>
      <w:spacing w:after="160" w:line="278" w:lineRule="auto"/>
    </w:pPr>
    <w:tblPr>
      <w:tblCellMar>
        <w:left w:w="0" w:type="dxa"/>
        <w:top w:w="0" w:type="dxa"/>
        <w:right w:w="0" w:type="dxa"/>
        <w:bottom w:w="0" w:type="dxa"/>
      </w:tblCellMar>
    </w:tblPr>
  </w:style>
  <w:style w:type="table" w:styleId="1165" w:customStyle="1">
    <w:name w:val="Lined - Accent 2"/>
    <w:uiPriority w:val="99"/>
    <w:qFormat/>
    <w:pPr>
      <w:spacing w:after="160" w:line="278" w:lineRule="auto"/>
    </w:pPr>
    <w:rPr>
      <w:color w:val="404040"/>
    </w:rPr>
    <w:tblPr>
      <w:tblCellMar>
        <w:left w:w="0" w:type="dxa"/>
        <w:top w:w="0" w:type="dxa"/>
        <w:right w:w="0" w:type="dxa"/>
        <w:bottom w:w="0" w:type="dxa"/>
      </w:tblCellMar>
    </w:tblPr>
  </w:style>
  <w:style w:type="table" w:styleId="1166" w:customStyle="1">
    <w:name w:val="List Table 2 - Accent 6"/>
    <w:uiPriority w:val="99"/>
    <w:qFormat/>
    <w:pPr>
      <w:spacing w:after="160" w:line="278" w:lineRule="auto"/>
    </w:pPr>
    <w:tblPr>
      <w:tblCellMar>
        <w:left w:w="0" w:type="dxa"/>
        <w:top w:w="0" w:type="dxa"/>
        <w:right w:w="0" w:type="dxa"/>
        <w:bottom w:w="0" w:type="dxa"/>
      </w:tblCellMar>
    </w:tblPr>
  </w:style>
  <w:style w:type="table" w:styleId="1167" w:customStyle="1">
    <w:name w:val="List Table 3 - Accent 6"/>
    <w:uiPriority w:val="99"/>
    <w:qFormat/>
    <w:pPr>
      <w:spacing w:after="160" w:line="278" w:lineRule="auto"/>
    </w:pPr>
    <w:tblPr>
      <w:tblCellMar>
        <w:left w:w="0" w:type="dxa"/>
        <w:top w:w="0" w:type="dxa"/>
        <w:right w:w="0" w:type="dxa"/>
        <w:bottom w:w="0" w:type="dxa"/>
      </w:tblCellMar>
    </w:tblPr>
  </w:style>
  <w:style w:type="table" w:styleId="1168" w:customStyle="1">
    <w:name w:val="Bordered - Accent 5"/>
    <w:uiPriority w:val="99"/>
    <w:qFormat/>
    <w:pPr>
      <w:spacing w:after="160" w:line="278" w:lineRule="auto"/>
    </w:pPr>
    <w:tblPr>
      <w:tblCellMar>
        <w:left w:w="0" w:type="dxa"/>
        <w:top w:w="0" w:type="dxa"/>
        <w:right w:w="0" w:type="dxa"/>
        <w:bottom w:w="0" w:type="dxa"/>
      </w:tblCellMar>
    </w:tblPr>
  </w:style>
  <w:style w:type="table" w:styleId="1169" w:customStyle="1">
    <w:name w:val="Grid Table 6 Colorful - Accent 1"/>
    <w:uiPriority w:val="99"/>
    <w:qFormat/>
    <w:pPr>
      <w:spacing w:after="160" w:line="278" w:lineRule="auto"/>
    </w:pPr>
    <w:tblPr>
      <w:tblCellMar>
        <w:left w:w="0" w:type="dxa"/>
        <w:top w:w="0" w:type="dxa"/>
        <w:right w:w="0" w:type="dxa"/>
        <w:bottom w:w="0" w:type="dxa"/>
      </w:tblCellMar>
    </w:tblPr>
  </w:style>
  <w:style w:type="table" w:styleId="1170" w:customStyle="1">
    <w:name w:val="List Table 4 - Accent 3"/>
    <w:uiPriority w:val="99"/>
    <w:qFormat/>
    <w:pPr>
      <w:spacing w:after="160" w:line="278" w:lineRule="auto"/>
    </w:pPr>
    <w:tblPr>
      <w:tblCellMar>
        <w:left w:w="0" w:type="dxa"/>
        <w:top w:w="0" w:type="dxa"/>
        <w:right w:w="0" w:type="dxa"/>
        <w:bottom w:w="0" w:type="dxa"/>
      </w:tblCellMar>
    </w:tblPr>
  </w:style>
  <w:style w:type="table" w:styleId="1171" w:customStyle="1">
    <w:name w:val="Bordered - Accent 2"/>
    <w:uiPriority w:val="99"/>
    <w:qFormat/>
    <w:pPr>
      <w:spacing w:after="160" w:line="278" w:lineRule="auto"/>
    </w:pPr>
    <w:tblPr>
      <w:tblCellMar>
        <w:left w:w="0" w:type="dxa"/>
        <w:top w:w="0" w:type="dxa"/>
        <w:right w:w="0" w:type="dxa"/>
        <w:bottom w:w="0" w:type="dxa"/>
      </w:tblCellMar>
    </w:tblPr>
  </w:style>
  <w:style w:type="table" w:styleId="1172" w:customStyle="1">
    <w:name w:val="Grid Table 5 Dark- Accent 1"/>
    <w:uiPriority w:val="99"/>
    <w:qFormat/>
    <w:pPr>
      <w:spacing w:after="160" w:line="278" w:lineRule="auto"/>
    </w:pPr>
    <w:tblPr>
      <w:tblCellMar>
        <w:left w:w="0" w:type="dxa"/>
        <w:top w:w="0" w:type="dxa"/>
        <w:right w:w="0" w:type="dxa"/>
        <w:bottom w:w="0" w:type="dxa"/>
      </w:tblCellMar>
    </w:tblPr>
  </w:style>
  <w:style w:type="table" w:styleId="1173" w:customStyle="1">
    <w:name w:val="Lined - Accent"/>
    <w:uiPriority w:val="99"/>
    <w:qFormat/>
    <w:pPr>
      <w:spacing w:after="160" w:line="278" w:lineRule="auto"/>
    </w:pPr>
    <w:rPr>
      <w:color w:val="404040"/>
    </w:rPr>
    <w:tblPr>
      <w:tblCellMar>
        <w:left w:w="0" w:type="dxa"/>
        <w:top w:w="0" w:type="dxa"/>
        <w:right w:w="0" w:type="dxa"/>
        <w:bottom w:w="0" w:type="dxa"/>
      </w:tblCellMar>
    </w:tblPr>
  </w:style>
  <w:style w:type="table" w:styleId="1174" w:customStyle="1">
    <w:name w:val="Grid Table 2 - Accent 4"/>
    <w:uiPriority w:val="99"/>
    <w:qFormat/>
    <w:pPr>
      <w:spacing w:after="160" w:line="278" w:lineRule="auto"/>
    </w:pPr>
    <w:tblPr>
      <w:tblCellMar>
        <w:left w:w="0" w:type="dxa"/>
        <w:top w:w="0" w:type="dxa"/>
        <w:right w:w="0" w:type="dxa"/>
        <w:bottom w:w="0" w:type="dxa"/>
      </w:tblCellMar>
    </w:tblPr>
  </w:style>
  <w:style w:type="table" w:styleId="1175" w:customStyle="1">
    <w:name w:val="List Table 3 - Accent 5"/>
    <w:uiPriority w:val="99"/>
    <w:qFormat/>
    <w:pPr>
      <w:spacing w:after="160" w:line="278" w:lineRule="auto"/>
    </w:pPr>
    <w:tblPr>
      <w:tblCellMar>
        <w:left w:w="0" w:type="dxa"/>
        <w:top w:w="0" w:type="dxa"/>
        <w:right w:w="0" w:type="dxa"/>
        <w:bottom w:w="0" w:type="dxa"/>
      </w:tblCellMar>
    </w:tblPr>
  </w:style>
  <w:style w:type="table" w:styleId="1176" w:customStyle="1">
    <w:name w:val="网格型1"/>
    <w:basedOn w:val="1177"/>
    <w:uiPriority w:val="59"/>
    <w:qFormat/>
    <w:pPr>
      <w:jc w:val="both"/>
      <w:widowControl w:val="off"/>
    </w:pPr>
    <w:tblPr/>
  </w:style>
  <w:style w:type="table" w:styleId="1177" w:customStyle="1">
    <w:name w:val="普通表格1"/>
    <w:uiPriority w:val="99"/>
    <w:unhideWhenUsed/>
    <w:pPr>
      <w:spacing w:after="160" w:line="278" w:lineRule="auto"/>
    </w:pPr>
    <w:tblPr>
      <w:tblCellMar>
        <w:left w:w="0" w:type="dxa"/>
        <w:top w:w="0" w:type="dxa"/>
        <w:right w:w="0" w:type="dxa"/>
        <w:bottom w:w="0" w:type="dxa"/>
      </w:tblCellMar>
    </w:tblPr>
  </w:style>
  <w:style w:type="table" w:styleId="1178" w:customStyle="1">
    <w:name w:val="网格表 21"/>
    <w:uiPriority w:val="99"/>
    <w:qFormat/>
    <w:pPr>
      <w:spacing w:after="160" w:line="278" w:lineRule="auto"/>
    </w:pPr>
    <w:tblPr>
      <w:tblCellMar>
        <w:left w:w="0" w:type="dxa"/>
        <w:top w:w="0" w:type="dxa"/>
        <w:right w:w="0" w:type="dxa"/>
        <w:bottom w:w="0" w:type="dxa"/>
      </w:tblCellMar>
    </w:tblPr>
  </w:style>
  <w:style w:type="table" w:styleId="1179" w:customStyle="1">
    <w:name w:val="List Table 6 Colorful - Accent 6"/>
    <w:uiPriority w:val="99"/>
    <w:qFormat/>
    <w:pPr>
      <w:spacing w:after="160" w:line="278" w:lineRule="auto"/>
    </w:pPr>
    <w:tblPr>
      <w:tblCellMar>
        <w:left w:w="0" w:type="dxa"/>
        <w:top w:w="0" w:type="dxa"/>
        <w:right w:w="0" w:type="dxa"/>
        <w:bottom w:w="0" w:type="dxa"/>
      </w:tblCellMar>
    </w:tblPr>
  </w:style>
  <w:style w:type="table" w:styleId="1180" w:customStyle="1">
    <w:name w:val="清单表 41"/>
    <w:uiPriority w:val="99"/>
    <w:qFormat/>
    <w:pPr>
      <w:spacing w:after="160" w:line="278" w:lineRule="auto"/>
    </w:pPr>
    <w:tblPr>
      <w:tblCellMar>
        <w:left w:w="0" w:type="dxa"/>
        <w:top w:w="0" w:type="dxa"/>
        <w:right w:w="0" w:type="dxa"/>
        <w:bottom w:w="0" w:type="dxa"/>
      </w:tblCellMar>
    </w:tblPr>
  </w:style>
  <w:style w:type="table" w:styleId="1181" w:customStyle="1">
    <w:name w:val="Grid Table 2 - Accent 3"/>
    <w:uiPriority w:val="99"/>
    <w:qFormat/>
    <w:pPr>
      <w:spacing w:after="160" w:line="278" w:lineRule="auto"/>
    </w:pPr>
    <w:tblPr>
      <w:tblCellMar>
        <w:left w:w="0" w:type="dxa"/>
        <w:top w:w="0" w:type="dxa"/>
        <w:right w:w="0" w:type="dxa"/>
        <w:bottom w:w="0" w:type="dxa"/>
      </w:tblCellMar>
    </w:tblPr>
  </w:style>
  <w:style w:type="table" w:styleId="1182" w:customStyle="1">
    <w:name w:val="无格式表格 11"/>
    <w:uiPriority w:val="59"/>
    <w:qFormat/>
    <w:pPr>
      <w:spacing w:after="160" w:line="278" w:lineRule="auto"/>
    </w:pPr>
    <w:tblPr>
      <w:tblCellMar>
        <w:left w:w="0" w:type="dxa"/>
        <w:top w:w="0" w:type="dxa"/>
        <w:right w:w="0" w:type="dxa"/>
        <w:bottom w:w="0" w:type="dxa"/>
      </w:tblCellMar>
    </w:tblPr>
  </w:style>
  <w:style w:type="table" w:styleId="1183" w:customStyle="1">
    <w:name w:val="List Table 6 Colorful - Accent 2"/>
    <w:uiPriority w:val="99"/>
    <w:qFormat/>
    <w:pPr>
      <w:spacing w:after="160" w:line="278" w:lineRule="auto"/>
    </w:pPr>
    <w:tblPr>
      <w:tblCellMar>
        <w:left w:w="0" w:type="dxa"/>
        <w:top w:w="0" w:type="dxa"/>
        <w:right w:w="0" w:type="dxa"/>
        <w:bottom w:w="0" w:type="dxa"/>
      </w:tblCellMar>
    </w:tblPr>
  </w:style>
  <w:style w:type="table" w:styleId="1184" w:customStyle="1">
    <w:name w:val="List Table 5 Dark - Accent 6"/>
    <w:uiPriority w:val="99"/>
    <w:pPr>
      <w:spacing w:after="160" w:line="278" w:lineRule="auto"/>
    </w:pPr>
    <w:tblPr>
      <w:tblCellMar>
        <w:left w:w="0" w:type="dxa"/>
        <w:top w:w="0" w:type="dxa"/>
        <w:right w:w="0" w:type="dxa"/>
        <w:bottom w:w="0" w:type="dxa"/>
      </w:tblCellMar>
    </w:tblPr>
  </w:style>
  <w:style w:type="table" w:styleId="1185" w:customStyle="1">
    <w:name w:val="Bordered"/>
    <w:uiPriority w:val="99"/>
    <w:qFormat/>
    <w:pPr>
      <w:spacing w:after="160" w:line="278" w:lineRule="auto"/>
    </w:pPr>
    <w:tblPr>
      <w:tblCellMar>
        <w:left w:w="0" w:type="dxa"/>
        <w:top w:w="0" w:type="dxa"/>
        <w:right w:w="0" w:type="dxa"/>
        <w:bottom w:w="0" w:type="dxa"/>
      </w:tblCellMar>
    </w:tblPr>
  </w:style>
  <w:style w:type="table" w:styleId="1186" w:customStyle="1">
    <w:name w:val="网格表 5 深色1"/>
    <w:uiPriority w:val="99"/>
    <w:qFormat/>
    <w:pPr>
      <w:spacing w:after="160" w:line="278" w:lineRule="auto"/>
    </w:pPr>
    <w:tblPr>
      <w:tblCellMar>
        <w:left w:w="0" w:type="dxa"/>
        <w:top w:w="0" w:type="dxa"/>
        <w:right w:w="0" w:type="dxa"/>
        <w:bottom w:w="0" w:type="dxa"/>
      </w:tblCellMar>
    </w:tblPr>
  </w:style>
  <w:style w:type="table" w:styleId="1187" w:customStyle="1">
    <w:name w:val="Grid Table 2 - Accent 1"/>
    <w:uiPriority w:val="99"/>
    <w:pPr>
      <w:spacing w:after="160" w:line="278" w:lineRule="auto"/>
    </w:pPr>
    <w:tblPr>
      <w:tblCellMar>
        <w:left w:w="0" w:type="dxa"/>
        <w:top w:w="0" w:type="dxa"/>
        <w:right w:w="0" w:type="dxa"/>
        <w:bottom w:w="0" w:type="dxa"/>
      </w:tblCellMar>
    </w:tblPr>
  </w:style>
  <w:style w:type="table" w:styleId="1188" w:customStyle="1">
    <w:name w:val="Bordered &amp; Lined - Accent 5"/>
    <w:uiPriority w:val="99"/>
    <w:pPr>
      <w:spacing w:after="160" w:line="278" w:lineRule="auto"/>
    </w:pPr>
    <w:rPr>
      <w:color w:val="404040"/>
    </w:rPr>
    <w:tblPr>
      <w:tblCellMar>
        <w:left w:w="0" w:type="dxa"/>
        <w:top w:w="0" w:type="dxa"/>
        <w:right w:w="0" w:type="dxa"/>
        <w:bottom w:w="0" w:type="dxa"/>
      </w:tblCellMar>
    </w:tblPr>
  </w:style>
  <w:style w:type="table" w:styleId="1189" w:customStyle="1">
    <w:name w:val="清单表 21"/>
    <w:uiPriority w:val="99"/>
    <w:pPr>
      <w:spacing w:after="160" w:line="278" w:lineRule="auto"/>
    </w:pPr>
    <w:tblPr>
      <w:tblCellMar>
        <w:left w:w="0" w:type="dxa"/>
        <w:top w:w="0" w:type="dxa"/>
        <w:right w:w="0" w:type="dxa"/>
        <w:bottom w:w="0" w:type="dxa"/>
      </w:tblCellMar>
    </w:tblPr>
  </w:style>
  <w:style w:type="table" w:styleId="1190" w:customStyle="1">
    <w:name w:val="Grid Table 7 Colorful - Accent 2"/>
    <w:uiPriority w:val="99"/>
    <w:qFormat/>
    <w:pPr>
      <w:spacing w:after="160" w:line="278" w:lineRule="auto"/>
    </w:pPr>
    <w:tblPr>
      <w:tblCellMar>
        <w:left w:w="0" w:type="dxa"/>
        <w:top w:w="0" w:type="dxa"/>
        <w:right w:w="0" w:type="dxa"/>
        <w:bottom w:w="0" w:type="dxa"/>
      </w:tblCellMar>
    </w:tblPr>
  </w:style>
  <w:style w:type="table" w:styleId="1191" w:customStyle="1">
    <w:name w:val="Table Grid Light"/>
    <w:uiPriority w:val="59"/>
    <w:qFormat/>
    <w:pPr>
      <w:spacing w:after="160" w:line="278" w:lineRule="auto"/>
    </w:pPr>
    <w:tblPr>
      <w:tblCellMar>
        <w:left w:w="0" w:type="dxa"/>
        <w:top w:w="0" w:type="dxa"/>
        <w:right w:w="0" w:type="dxa"/>
        <w:bottom w:w="0" w:type="dxa"/>
      </w:tblCellMar>
    </w:tblPr>
  </w:style>
  <w:style w:type="table" w:styleId="1192" w:customStyle="1">
    <w:name w:val="List Table 2 - Accent 3"/>
    <w:uiPriority w:val="99"/>
    <w:qFormat/>
    <w:pPr>
      <w:spacing w:after="160" w:line="278" w:lineRule="auto"/>
    </w:pPr>
    <w:tblPr>
      <w:tblCellMar>
        <w:left w:w="0" w:type="dxa"/>
        <w:top w:w="0" w:type="dxa"/>
        <w:right w:w="0" w:type="dxa"/>
        <w:bottom w:w="0" w:type="dxa"/>
      </w:tblCellMar>
    </w:tblPr>
  </w:style>
  <w:style w:type="table" w:styleId="1193" w:customStyle="1">
    <w:name w:val="List Table 7 Colorful - Accent 4"/>
    <w:uiPriority w:val="99"/>
    <w:qFormat/>
    <w:pPr>
      <w:spacing w:after="160" w:line="278" w:lineRule="auto"/>
    </w:pPr>
    <w:tblPr>
      <w:tblCellMar>
        <w:left w:w="0" w:type="dxa"/>
        <w:top w:w="0" w:type="dxa"/>
        <w:right w:w="0" w:type="dxa"/>
        <w:bottom w:w="0" w:type="dxa"/>
      </w:tblCellMar>
    </w:tblPr>
  </w:style>
  <w:style w:type="table" w:styleId="1194" w:customStyle="1">
    <w:name w:val="Lined - Accent 6"/>
    <w:uiPriority w:val="99"/>
    <w:qFormat/>
    <w:pPr>
      <w:spacing w:after="160" w:line="278" w:lineRule="auto"/>
    </w:pPr>
    <w:rPr>
      <w:color w:val="404040"/>
    </w:rPr>
    <w:tblPr>
      <w:tblCellMar>
        <w:left w:w="0" w:type="dxa"/>
        <w:top w:w="0" w:type="dxa"/>
        <w:right w:w="0" w:type="dxa"/>
        <w:bottom w:w="0" w:type="dxa"/>
      </w:tblCellMar>
    </w:tblPr>
  </w:style>
  <w:style w:type="table" w:styleId="1195" w:customStyle="1">
    <w:name w:val="List Table 7 Colorful - Accent 2"/>
    <w:uiPriority w:val="99"/>
    <w:qFormat/>
    <w:pPr>
      <w:spacing w:after="160" w:line="278" w:lineRule="auto"/>
    </w:pPr>
    <w:tblPr>
      <w:tblCellMar>
        <w:left w:w="0" w:type="dxa"/>
        <w:top w:w="0" w:type="dxa"/>
        <w:right w:w="0" w:type="dxa"/>
        <w:bottom w:w="0" w:type="dxa"/>
      </w:tblCellMar>
    </w:tblPr>
  </w:style>
  <w:style w:type="table" w:styleId="1196" w:customStyle="1">
    <w:name w:val="List Table 5 Dark - Accent 3"/>
    <w:uiPriority w:val="99"/>
    <w:qFormat/>
    <w:pPr>
      <w:spacing w:after="160" w:line="278" w:lineRule="auto"/>
    </w:pPr>
    <w:tblPr>
      <w:tblCellMar>
        <w:left w:w="0" w:type="dxa"/>
        <w:top w:w="0" w:type="dxa"/>
        <w:right w:w="0" w:type="dxa"/>
        <w:bottom w:w="0" w:type="dxa"/>
      </w:tblCellMar>
    </w:tblPr>
  </w:style>
  <w:style w:type="table" w:styleId="1197" w:customStyle="1">
    <w:name w:val="Grid Table 3 - Accent 5"/>
    <w:uiPriority w:val="99"/>
    <w:qFormat/>
    <w:pPr>
      <w:spacing w:after="160" w:line="278" w:lineRule="auto"/>
    </w:pPr>
    <w:tblPr>
      <w:tblCellMar>
        <w:left w:w="0" w:type="dxa"/>
        <w:top w:w="0" w:type="dxa"/>
        <w:right w:w="0" w:type="dxa"/>
        <w:bottom w:w="0" w:type="dxa"/>
      </w:tblCellMar>
    </w:tblPr>
  </w:style>
  <w:style w:type="table" w:styleId="1198" w:customStyle="1">
    <w:name w:val="Grid Table 6 Colorful - Accent 2"/>
    <w:uiPriority w:val="99"/>
    <w:qFormat/>
    <w:pPr>
      <w:spacing w:after="160" w:line="278" w:lineRule="auto"/>
    </w:pPr>
    <w:tblPr>
      <w:tblCellMar>
        <w:left w:w="0" w:type="dxa"/>
        <w:top w:w="0" w:type="dxa"/>
        <w:right w:w="0" w:type="dxa"/>
        <w:bottom w:w="0" w:type="dxa"/>
      </w:tblCellMar>
    </w:tblPr>
  </w:style>
  <w:style w:type="table" w:styleId="1199" w:customStyle="1">
    <w:name w:val="List Table 5 Dark - Accent 2"/>
    <w:uiPriority w:val="99"/>
    <w:qFormat/>
    <w:pPr>
      <w:spacing w:after="160" w:line="278" w:lineRule="auto"/>
    </w:pPr>
    <w:tblPr>
      <w:tblCellMar>
        <w:left w:w="0" w:type="dxa"/>
        <w:top w:w="0" w:type="dxa"/>
        <w:right w:w="0" w:type="dxa"/>
        <w:bottom w:w="0" w:type="dxa"/>
      </w:tblCellMar>
    </w:tblPr>
  </w:style>
  <w:style w:type="table" w:styleId="1200" w:customStyle="1">
    <w:name w:val="Bordered &amp; Lined - Accent 6"/>
    <w:uiPriority w:val="99"/>
    <w:pPr>
      <w:spacing w:after="160" w:line="278" w:lineRule="auto"/>
    </w:pPr>
    <w:rPr>
      <w:color w:val="404040"/>
    </w:rPr>
    <w:tblPr>
      <w:tblCellMar>
        <w:left w:w="0" w:type="dxa"/>
        <w:top w:w="0" w:type="dxa"/>
        <w:right w:w="0" w:type="dxa"/>
        <w:bottom w:w="0" w:type="dxa"/>
      </w:tblCellMar>
    </w:tblPr>
  </w:style>
  <w:style w:type="table" w:styleId="1201" w:customStyle="1">
    <w:name w:val="List Table 2 - Accent 2"/>
    <w:uiPriority w:val="99"/>
    <w:qFormat/>
    <w:pPr>
      <w:spacing w:after="160" w:line="278" w:lineRule="auto"/>
    </w:pPr>
    <w:tblPr>
      <w:tblCellMar>
        <w:left w:w="0" w:type="dxa"/>
        <w:top w:w="0" w:type="dxa"/>
        <w:right w:w="0" w:type="dxa"/>
        <w:bottom w:w="0" w:type="dxa"/>
      </w:tblCellMar>
    </w:tblPr>
  </w:style>
  <w:style w:type="table" w:styleId="1202" w:customStyle="1">
    <w:name w:val="List Table 3 - Accent 3"/>
    <w:uiPriority w:val="99"/>
    <w:qFormat/>
    <w:pPr>
      <w:spacing w:after="160" w:line="278" w:lineRule="auto"/>
    </w:pPr>
    <w:tblPr>
      <w:tblCellMar>
        <w:left w:w="0" w:type="dxa"/>
        <w:top w:w="0" w:type="dxa"/>
        <w:right w:w="0" w:type="dxa"/>
        <w:bottom w:w="0" w:type="dxa"/>
      </w:tblCellMar>
    </w:tblPr>
  </w:style>
  <w:style w:type="table" w:styleId="1203" w:customStyle="1">
    <w:name w:val="Grid Table 7 Colorful - Accent 1"/>
    <w:uiPriority w:val="99"/>
    <w:pPr>
      <w:spacing w:after="160" w:line="278" w:lineRule="auto"/>
    </w:pPr>
    <w:tblPr>
      <w:tblCellMar>
        <w:left w:w="0" w:type="dxa"/>
        <w:top w:w="0" w:type="dxa"/>
        <w:right w:w="0" w:type="dxa"/>
        <w:bottom w:w="0" w:type="dxa"/>
      </w:tblCellMar>
    </w:tblPr>
  </w:style>
  <w:style w:type="table" w:styleId="1204" w:customStyle="1">
    <w:name w:val="Grid Table 1 Light - Accent 3"/>
    <w:uiPriority w:val="99"/>
    <w:qFormat/>
    <w:pPr>
      <w:spacing w:after="160" w:line="278" w:lineRule="auto"/>
    </w:pPr>
    <w:tblPr>
      <w:tblCellMar>
        <w:left w:w="0" w:type="dxa"/>
        <w:top w:w="0" w:type="dxa"/>
        <w:right w:w="0" w:type="dxa"/>
        <w:bottom w:w="0" w:type="dxa"/>
      </w:tblCellMar>
    </w:tblPr>
  </w:style>
  <w:style w:type="table" w:styleId="1205" w:customStyle="1">
    <w:name w:val="Grid Table 5 Dark - Accent 3"/>
    <w:uiPriority w:val="99"/>
    <w:qFormat/>
    <w:pPr>
      <w:spacing w:after="160" w:line="278" w:lineRule="auto"/>
    </w:pPr>
    <w:tblPr>
      <w:tblCellMar>
        <w:left w:w="0" w:type="dxa"/>
        <w:top w:w="0" w:type="dxa"/>
        <w:right w:w="0" w:type="dxa"/>
        <w:bottom w:w="0" w:type="dxa"/>
      </w:tblCellMar>
    </w:tblPr>
  </w:style>
  <w:style w:type="table" w:styleId="1206" w:customStyle="1">
    <w:name w:val="Grid Table 1 Light - Accent 5"/>
    <w:uiPriority w:val="99"/>
    <w:qFormat/>
    <w:pPr>
      <w:spacing w:after="160" w:line="278" w:lineRule="auto"/>
    </w:pPr>
    <w:tblPr>
      <w:tblCellMar>
        <w:left w:w="0" w:type="dxa"/>
        <w:top w:w="0" w:type="dxa"/>
        <w:right w:w="0" w:type="dxa"/>
        <w:bottom w:w="0" w:type="dxa"/>
      </w:tblCellMar>
    </w:tblPr>
  </w:style>
  <w:style w:type="table" w:styleId="1207" w:customStyle="1">
    <w:name w:val="网格表 7 彩色1"/>
    <w:uiPriority w:val="99"/>
    <w:qFormat/>
    <w:pPr>
      <w:spacing w:after="160" w:line="278" w:lineRule="auto"/>
    </w:pPr>
    <w:tblPr>
      <w:tblCellMar>
        <w:left w:w="0" w:type="dxa"/>
        <w:top w:w="0" w:type="dxa"/>
        <w:right w:w="0" w:type="dxa"/>
        <w:bottom w:w="0" w:type="dxa"/>
      </w:tblCellMar>
    </w:tblPr>
  </w:style>
  <w:style w:type="table" w:styleId="1208" w:customStyle="1">
    <w:name w:val="清单表 6 彩色1"/>
    <w:uiPriority w:val="99"/>
    <w:qFormat/>
    <w:pPr>
      <w:spacing w:after="160" w:line="278" w:lineRule="auto"/>
    </w:pPr>
    <w:tblPr>
      <w:tblCellMar>
        <w:left w:w="0" w:type="dxa"/>
        <w:top w:w="0" w:type="dxa"/>
        <w:right w:w="0" w:type="dxa"/>
        <w:bottom w:w="0" w:type="dxa"/>
      </w:tblCellMar>
    </w:tblPr>
  </w:style>
  <w:style w:type="table" w:styleId="1209" w:customStyle="1">
    <w:name w:val="List Table 1 Light - Accent 6"/>
    <w:uiPriority w:val="99"/>
    <w:qFormat/>
    <w:pPr>
      <w:spacing w:after="160" w:line="278" w:lineRule="auto"/>
    </w:pPr>
    <w:tblPr>
      <w:tblCellMar>
        <w:left w:w="0" w:type="dxa"/>
        <w:top w:w="0" w:type="dxa"/>
        <w:right w:w="0" w:type="dxa"/>
        <w:bottom w:w="0" w:type="dxa"/>
      </w:tblCellMar>
    </w:tblPr>
  </w:style>
  <w:style w:type="table" w:styleId="1210" w:customStyle="1">
    <w:name w:val="List Table 1 Light - Accent 4"/>
    <w:uiPriority w:val="99"/>
    <w:pPr>
      <w:spacing w:after="160" w:line="278" w:lineRule="auto"/>
    </w:pPr>
    <w:tblPr>
      <w:tblCellMar>
        <w:left w:w="0" w:type="dxa"/>
        <w:top w:w="0" w:type="dxa"/>
        <w:right w:w="0" w:type="dxa"/>
        <w:bottom w:w="0" w:type="dxa"/>
      </w:tblCellMar>
    </w:tblPr>
  </w:style>
  <w:style w:type="table" w:styleId="1211" w:customStyle="1">
    <w:name w:val="清单表 7 彩色1"/>
    <w:uiPriority w:val="99"/>
    <w:pPr>
      <w:spacing w:after="160" w:line="278" w:lineRule="auto"/>
    </w:pPr>
    <w:tblPr>
      <w:tblCellMar>
        <w:left w:w="0" w:type="dxa"/>
        <w:top w:w="0" w:type="dxa"/>
        <w:right w:w="0" w:type="dxa"/>
        <w:bottom w:w="0" w:type="dxa"/>
      </w:tblCellMar>
    </w:tblPr>
  </w:style>
  <w:style w:type="table" w:styleId="1212" w:customStyle="1">
    <w:name w:val="List Table 5 Dark - Accent 1"/>
    <w:uiPriority w:val="99"/>
    <w:qFormat/>
    <w:pPr>
      <w:spacing w:after="160" w:line="278" w:lineRule="auto"/>
    </w:pPr>
    <w:tblPr>
      <w:tblCellMar>
        <w:left w:w="0" w:type="dxa"/>
        <w:top w:w="0" w:type="dxa"/>
        <w:right w:w="0" w:type="dxa"/>
        <w:bottom w:w="0" w:type="dxa"/>
      </w:tblCellMar>
    </w:tblPr>
  </w:style>
  <w:style w:type="table" w:styleId="1213" w:customStyle="1">
    <w:name w:val="Grid Table 4 - Accent 3"/>
    <w:uiPriority w:val="59"/>
    <w:qFormat/>
    <w:pPr>
      <w:spacing w:after="160" w:line="278" w:lineRule="auto"/>
    </w:pPr>
    <w:tblPr>
      <w:tblCellMar>
        <w:left w:w="0" w:type="dxa"/>
        <w:top w:w="0" w:type="dxa"/>
        <w:right w:w="0" w:type="dxa"/>
        <w:bottom w:w="0" w:type="dxa"/>
      </w:tblCellMar>
    </w:tblPr>
  </w:style>
  <w:style w:type="table" w:styleId="1214" w:customStyle="1">
    <w:name w:val="无格式表格 21"/>
    <w:uiPriority w:val="59"/>
    <w:qFormat/>
    <w:pPr>
      <w:spacing w:after="160" w:line="278" w:lineRule="auto"/>
    </w:pPr>
    <w:tblPr>
      <w:tblCellMar>
        <w:left w:w="0" w:type="dxa"/>
        <w:top w:w="0" w:type="dxa"/>
        <w:right w:w="0" w:type="dxa"/>
        <w:bottom w:w="0" w:type="dxa"/>
      </w:tblCellMar>
    </w:tblPr>
  </w:style>
  <w:style w:type="table" w:styleId="1215" w:customStyle="1">
    <w:name w:val="Grid Table 3 - Accent 6"/>
    <w:uiPriority w:val="99"/>
    <w:qFormat/>
    <w:pPr>
      <w:spacing w:after="160" w:line="278" w:lineRule="auto"/>
    </w:pPr>
    <w:tblPr>
      <w:tblCellMar>
        <w:left w:w="0" w:type="dxa"/>
        <w:top w:w="0" w:type="dxa"/>
        <w:right w:w="0" w:type="dxa"/>
        <w:bottom w:w="0" w:type="dxa"/>
      </w:tblCellMar>
    </w:tblPr>
  </w:style>
  <w:style w:type="table" w:styleId="1216" w:customStyle="1">
    <w:name w:val="Grid Table 2 - Accent 2"/>
    <w:uiPriority w:val="99"/>
    <w:qFormat/>
    <w:pPr>
      <w:spacing w:after="160" w:line="278" w:lineRule="auto"/>
    </w:pPr>
    <w:tblPr>
      <w:tblCellMar>
        <w:left w:w="0" w:type="dxa"/>
        <w:top w:w="0" w:type="dxa"/>
        <w:right w:w="0" w:type="dxa"/>
        <w:bottom w:w="0" w:type="dxa"/>
      </w:tblCellMar>
    </w:tblPr>
  </w:style>
  <w:style w:type="table" w:styleId="1217" w:customStyle="1">
    <w:name w:val="Grid Table 3 - Accent 4"/>
    <w:uiPriority w:val="99"/>
    <w:qFormat/>
    <w:pPr>
      <w:spacing w:after="160" w:line="278" w:lineRule="auto"/>
    </w:pPr>
    <w:tblPr>
      <w:tblCellMar>
        <w:left w:w="0" w:type="dxa"/>
        <w:top w:w="0" w:type="dxa"/>
        <w:right w:w="0" w:type="dxa"/>
        <w:bottom w:w="0" w:type="dxa"/>
      </w:tblCellMar>
    </w:tblPr>
  </w:style>
  <w:style w:type="table" w:styleId="1218" w:customStyle="1">
    <w:name w:val="List Table 1 Light - Accent 2"/>
    <w:uiPriority w:val="99"/>
    <w:qFormat/>
    <w:pPr>
      <w:spacing w:after="160" w:line="278" w:lineRule="auto"/>
    </w:pPr>
    <w:tblPr>
      <w:tblCellMar>
        <w:left w:w="0" w:type="dxa"/>
        <w:top w:w="0" w:type="dxa"/>
        <w:right w:w="0" w:type="dxa"/>
        <w:bottom w:w="0" w:type="dxa"/>
      </w:tblCellMar>
    </w:tblPr>
  </w:style>
  <w:style w:type="table" w:styleId="1219" w:customStyle="1">
    <w:name w:val="List Table 5 Dark - Accent 4"/>
    <w:uiPriority w:val="99"/>
    <w:qFormat/>
    <w:pPr>
      <w:spacing w:after="160" w:line="278" w:lineRule="auto"/>
    </w:pPr>
    <w:tblPr>
      <w:tblCellMar>
        <w:left w:w="0" w:type="dxa"/>
        <w:top w:w="0" w:type="dxa"/>
        <w:right w:w="0" w:type="dxa"/>
        <w:bottom w:w="0" w:type="dxa"/>
      </w:tblCellMar>
    </w:tblPr>
  </w:style>
  <w:style w:type="table" w:styleId="1220" w:customStyle="1">
    <w:name w:val="Grid Table 4 - Accent 6"/>
    <w:uiPriority w:val="59"/>
    <w:pPr>
      <w:spacing w:after="160" w:line="278" w:lineRule="auto"/>
    </w:pPr>
    <w:tblPr>
      <w:tblCellMar>
        <w:left w:w="0" w:type="dxa"/>
        <w:top w:w="0" w:type="dxa"/>
        <w:right w:w="0" w:type="dxa"/>
        <w:bottom w:w="0" w:type="dxa"/>
      </w:tblCellMar>
    </w:tblPr>
  </w:style>
  <w:style w:type="table" w:styleId="1221" w:customStyle="1">
    <w:name w:val="网格表 1 浅色1"/>
    <w:uiPriority w:val="99"/>
    <w:qFormat/>
    <w:pPr>
      <w:spacing w:after="160" w:line="278" w:lineRule="auto"/>
    </w:pPr>
    <w:tblPr>
      <w:tblCellMar>
        <w:left w:w="0" w:type="dxa"/>
        <w:top w:w="0" w:type="dxa"/>
        <w:right w:w="0" w:type="dxa"/>
        <w:bottom w:w="0" w:type="dxa"/>
      </w:tblCellMar>
    </w:tblPr>
  </w:style>
  <w:style w:type="table" w:styleId="1222" w:customStyle="1">
    <w:name w:val="Grid Table 7 Colorful - Accent 6"/>
    <w:uiPriority w:val="99"/>
    <w:qFormat/>
    <w:pPr>
      <w:spacing w:after="160" w:line="278" w:lineRule="auto"/>
    </w:pPr>
    <w:tblPr>
      <w:tblCellMar>
        <w:left w:w="0" w:type="dxa"/>
        <w:top w:w="0" w:type="dxa"/>
        <w:right w:w="0" w:type="dxa"/>
        <w:bottom w:w="0" w:type="dxa"/>
      </w:tblCellMar>
    </w:tblPr>
  </w:style>
  <w:style w:type="table" w:styleId="1223" w:customStyle="1">
    <w:name w:val="Grid Table 4 - Accent 4"/>
    <w:uiPriority w:val="59"/>
    <w:qFormat/>
    <w:pPr>
      <w:spacing w:after="160" w:line="278" w:lineRule="auto"/>
    </w:pPr>
    <w:tblPr>
      <w:tblCellMar>
        <w:left w:w="0" w:type="dxa"/>
        <w:top w:w="0" w:type="dxa"/>
        <w:right w:w="0" w:type="dxa"/>
        <w:bottom w:w="0" w:type="dxa"/>
      </w:tblCellMar>
    </w:tblPr>
  </w:style>
  <w:style w:type="table" w:styleId="1224" w:customStyle="1">
    <w:name w:val="Grid Table 1 Light - Accent 2"/>
    <w:uiPriority w:val="99"/>
    <w:qFormat/>
    <w:pPr>
      <w:spacing w:after="160" w:line="278" w:lineRule="auto"/>
    </w:pPr>
    <w:tblPr>
      <w:tblCellMar>
        <w:left w:w="0" w:type="dxa"/>
        <w:top w:w="0" w:type="dxa"/>
        <w:right w:w="0" w:type="dxa"/>
        <w:bottom w:w="0" w:type="dxa"/>
      </w:tblCellMar>
    </w:tblPr>
  </w:style>
  <w:style w:type="table" w:styleId="1225" w:customStyle="1">
    <w:name w:val="清单表 1 浅色1"/>
    <w:uiPriority w:val="99"/>
    <w:pPr>
      <w:spacing w:after="160" w:line="278" w:lineRule="auto"/>
    </w:pPr>
    <w:tblPr>
      <w:tblCellMar>
        <w:left w:w="0" w:type="dxa"/>
        <w:top w:w="0" w:type="dxa"/>
        <w:right w:w="0" w:type="dxa"/>
        <w:bottom w:w="0" w:type="dxa"/>
      </w:tblCellMar>
    </w:tblPr>
  </w:style>
  <w:style w:type="table" w:styleId="1226" w:customStyle="1">
    <w:name w:val="Bordered &amp; Lined - Accent 2"/>
    <w:uiPriority w:val="99"/>
    <w:pPr>
      <w:spacing w:after="160" w:line="278" w:lineRule="auto"/>
    </w:pPr>
    <w:rPr>
      <w:color w:val="404040"/>
    </w:rPr>
    <w:tblPr>
      <w:tblCellMar>
        <w:left w:w="0" w:type="dxa"/>
        <w:top w:w="0" w:type="dxa"/>
        <w:right w:w="0" w:type="dxa"/>
        <w:bottom w:w="0" w:type="dxa"/>
      </w:tblCellMar>
    </w:tblPr>
  </w:style>
  <w:style w:type="table" w:styleId="1227" w:customStyle="1">
    <w:name w:val="List Table 5 Dark - Accent 5"/>
    <w:uiPriority w:val="99"/>
    <w:qFormat/>
    <w:pPr>
      <w:spacing w:after="160" w:line="278" w:lineRule="auto"/>
    </w:pPr>
    <w:tblPr>
      <w:tblCellMar>
        <w:left w:w="0" w:type="dxa"/>
        <w:top w:w="0" w:type="dxa"/>
        <w:right w:w="0" w:type="dxa"/>
        <w:bottom w:w="0" w:type="dxa"/>
      </w:tblCellMar>
    </w:tblPr>
  </w:style>
  <w:style w:type="table" w:styleId="1228" w:customStyle="1">
    <w:name w:val="List Table 3 - Accent 2"/>
    <w:uiPriority w:val="99"/>
    <w:qFormat/>
    <w:pPr>
      <w:spacing w:after="160" w:line="278" w:lineRule="auto"/>
    </w:pPr>
    <w:tblPr>
      <w:tblCellMar>
        <w:left w:w="0" w:type="dxa"/>
        <w:top w:w="0" w:type="dxa"/>
        <w:right w:w="0" w:type="dxa"/>
        <w:bottom w:w="0" w:type="dxa"/>
      </w:tblCellMar>
    </w:tblPr>
  </w:style>
  <w:style w:type="table" w:styleId="1229" w:customStyle="1">
    <w:name w:val="Grid Table 2 - Accent 6"/>
    <w:uiPriority w:val="99"/>
    <w:qFormat/>
    <w:pPr>
      <w:spacing w:after="160" w:line="278" w:lineRule="auto"/>
    </w:pPr>
    <w:tblPr>
      <w:tblCellMar>
        <w:left w:w="0" w:type="dxa"/>
        <w:top w:w="0" w:type="dxa"/>
        <w:right w:w="0" w:type="dxa"/>
        <w:bottom w:w="0" w:type="dxa"/>
      </w:tblCellMar>
    </w:tblPr>
  </w:style>
  <w:style w:type="table" w:styleId="1230" w:customStyle="1">
    <w:name w:val="List Table 3 - Accent 4"/>
    <w:uiPriority w:val="99"/>
    <w:qFormat/>
    <w:pPr>
      <w:spacing w:after="160" w:line="278" w:lineRule="auto"/>
    </w:pPr>
    <w:tblPr>
      <w:tblCellMar>
        <w:left w:w="0" w:type="dxa"/>
        <w:top w:w="0" w:type="dxa"/>
        <w:right w:w="0" w:type="dxa"/>
        <w:bottom w:w="0" w:type="dxa"/>
      </w:tblCellMar>
    </w:tblPr>
  </w:style>
  <w:style w:type="table" w:styleId="1231" w:customStyle="1">
    <w:name w:val="List Table 6 Colorful - Accent 3"/>
    <w:uiPriority w:val="99"/>
    <w:qFormat/>
    <w:pPr>
      <w:spacing w:after="160" w:line="278" w:lineRule="auto"/>
    </w:pPr>
    <w:tblPr>
      <w:tblCellMar>
        <w:left w:w="0" w:type="dxa"/>
        <w:top w:w="0" w:type="dxa"/>
        <w:right w:w="0" w:type="dxa"/>
        <w:bottom w:w="0" w:type="dxa"/>
      </w:tblCellMar>
    </w:tblPr>
  </w:style>
  <w:style w:type="table" w:styleId="1232" w:customStyle="1">
    <w:name w:val="Table Normal"/>
    <w:uiPriority w:val="59"/>
    <w:unhideWhenUsed/>
    <w:qFormat/>
    <w:pPr>
      <w:spacing w:after="160" w:line="278" w:lineRule="auto"/>
    </w:pPr>
    <w:tblPr>
      <w:tblCellMar>
        <w:left w:w="0" w:type="dxa"/>
        <w:top w:w="0" w:type="dxa"/>
        <w:right w:w="0" w:type="dxa"/>
        <w:bottom w:w="0" w:type="dxa"/>
      </w:tblCellMar>
    </w:tblPr>
  </w:style>
  <w:style w:type="table" w:styleId="1233" w:customStyle="1">
    <w:name w:val="List Table 7 Colorful - Accent 3"/>
    <w:uiPriority w:val="99"/>
    <w:qFormat/>
    <w:pPr>
      <w:spacing w:after="160" w:line="278" w:lineRule="auto"/>
    </w:pPr>
    <w:tblPr>
      <w:tblCellMar>
        <w:left w:w="0" w:type="dxa"/>
        <w:top w:w="0" w:type="dxa"/>
        <w:right w:w="0" w:type="dxa"/>
        <w:bottom w:w="0" w:type="dxa"/>
      </w:tblCellMar>
    </w:tblPr>
  </w:style>
  <w:style w:type="table" w:styleId="1234" w:customStyle="1">
    <w:name w:val="清单表 5 深色1"/>
    <w:uiPriority w:val="99"/>
    <w:qFormat/>
    <w:pPr>
      <w:spacing w:after="160" w:line="278" w:lineRule="auto"/>
    </w:pPr>
    <w:tblPr>
      <w:tblCellMar>
        <w:left w:w="0" w:type="dxa"/>
        <w:top w:w="0" w:type="dxa"/>
        <w:right w:w="0" w:type="dxa"/>
        <w:bottom w:w="0" w:type="dxa"/>
      </w:tblCellMar>
    </w:tblPr>
  </w:style>
  <w:style w:type="table" w:styleId="1235" w:customStyle="1">
    <w:name w:val="List Table 1 Light - Accent 5"/>
    <w:uiPriority w:val="99"/>
    <w:qFormat/>
    <w:pPr>
      <w:spacing w:after="160" w:line="278" w:lineRule="auto"/>
    </w:pPr>
    <w:tblPr>
      <w:tblCellMar>
        <w:left w:w="0" w:type="dxa"/>
        <w:top w:w="0" w:type="dxa"/>
        <w:right w:w="0" w:type="dxa"/>
        <w:bottom w:w="0" w:type="dxa"/>
      </w:tblCellMar>
    </w:tblPr>
  </w:style>
  <w:style w:type="table" w:styleId="1236" w:customStyle="1">
    <w:name w:val="Grid Table 4 - Accent 2"/>
    <w:uiPriority w:val="59"/>
    <w:pPr>
      <w:spacing w:after="160" w:line="278" w:lineRule="auto"/>
    </w:pPr>
    <w:tblPr>
      <w:tblCellMar>
        <w:left w:w="0" w:type="dxa"/>
        <w:top w:w="0" w:type="dxa"/>
        <w:right w:w="0" w:type="dxa"/>
        <w:bottom w:w="0" w:type="dxa"/>
      </w:tblCellMar>
    </w:tblPr>
  </w:style>
  <w:style w:type="table" w:styleId="1237" w:customStyle="1">
    <w:name w:val="网格表 41"/>
    <w:uiPriority w:val="59"/>
    <w:qFormat/>
    <w:pPr>
      <w:spacing w:after="160" w:line="278" w:lineRule="auto"/>
    </w:pPr>
    <w:tblPr>
      <w:tblCellMar>
        <w:left w:w="0" w:type="dxa"/>
        <w:top w:w="0" w:type="dxa"/>
        <w:right w:w="0" w:type="dxa"/>
        <w:bottom w:w="0" w:type="dxa"/>
      </w:tblCellMar>
    </w:tblPr>
  </w:style>
  <w:style w:type="table" w:styleId="1238" w:customStyle="1">
    <w:name w:val="List Table 7 Colorful - Accent 5"/>
    <w:uiPriority w:val="99"/>
    <w:pPr>
      <w:spacing w:after="160" w:line="278" w:lineRule="auto"/>
    </w:pPr>
    <w:tblPr>
      <w:tblCellMar>
        <w:left w:w="0" w:type="dxa"/>
        <w:top w:w="0" w:type="dxa"/>
        <w:right w:w="0" w:type="dxa"/>
        <w:bottom w:w="0" w:type="dxa"/>
      </w:tblCellMar>
    </w:tblPr>
  </w:style>
  <w:style w:type="table" w:styleId="1239" w:customStyle="1">
    <w:name w:val="Grid Table 4 - Accent 1"/>
    <w:uiPriority w:val="59"/>
    <w:qFormat/>
    <w:pPr>
      <w:spacing w:after="160" w:line="278" w:lineRule="auto"/>
    </w:pPr>
    <w:tblPr>
      <w:tblCellMar>
        <w:left w:w="0" w:type="dxa"/>
        <w:top w:w="0" w:type="dxa"/>
        <w:right w:w="0" w:type="dxa"/>
        <w:bottom w:w="0" w:type="dxa"/>
      </w:tblCellMar>
    </w:tblPr>
  </w:style>
  <w:style w:type="table" w:styleId="1240" w:customStyle="1">
    <w:name w:val="List Table 7 Colorful - Accent 6"/>
    <w:uiPriority w:val="99"/>
    <w:qFormat/>
    <w:pPr>
      <w:spacing w:after="160" w:line="278" w:lineRule="auto"/>
    </w:pPr>
    <w:tblPr>
      <w:tblCellMar>
        <w:left w:w="0" w:type="dxa"/>
        <w:top w:w="0" w:type="dxa"/>
        <w:right w:w="0" w:type="dxa"/>
        <w:bottom w:w="0" w:type="dxa"/>
      </w:tblCellMar>
    </w:tblPr>
  </w:style>
  <w:style w:type="table" w:styleId="1241" w:customStyle="1">
    <w:name w:val="List Table 1 Light - Accent 3"/>
    <w:uiPriority w:val="99"/>
    <w:pPr>
      <w:spacing w:after="160" w:line="278" w:lineRule="auto"/>
    </w:pPr>
    <w:tblPr>
      <w:tblCellMar>
        <w:left w:w="0" w:type="dxa"/>
        <w:top w:w="0" w:type="dxa"/>
        <w:right w:w="0" w:type="dxa"/>
        <w:bottom w:w="0" w:type="dxa"/>
      </w:tblCellMar>
    </w:tblPr>
  </w:style>
  <w:style w:type="table" w:styleId="1242" w:customStyle="1">
    <w:name w:val="Grid Table 6 Colorful - Accent 5"/>
    <w:uiPriority w:val="99"/>
    <w:qFormat/>
    <w:pPr>
      <w:spacing w:after="160" w:line="278" w:lineRule="auto"/>
    </w:pPr>
    <w:tblPr>
      <w:tblCellMar>
        <w:left w:w="0" w:type="dxa"/>
        <w:top w:w="0" w:type="dxa"/>
        <w:right w:w="0" w:type="dxa"/>
        <w:bottom w:w="0" w:type="dxa"/>
      </w:tblCellMar>
    </w:tblPr>
  </w:style>
  <w:style w:type="table" w:styleId="1243" w:customStyle="1">
    <w:name w:val="Bordered - Accent 1"/>
    <w:uiPriority w:val="99"/>
    <w:pPr>
      <w:spacing w:after="160" w:line="278" w:lineRule="auto"/>
    </w:pPr>
    <w:tblPr>
      <w:tblCellMar>
        <w:left w:w="0" w:type="dxa"/>
        <w:top w:w="0" w:type="dxa"/>
        <w:right w:w="0" w:type="dxa"/>
        <w:bottom w:w="0" w:type="dxa"/>
      </w:tblCellMar>
    </w:tblPr>
  </w:style>
  <w:style w:type="table" w:styleId="1244" w:customStyle="1">
    <w:name w:val="List Table 6 Colorful - Accent 1"/>
    <w:uiPriority w:val="99"/>
    <w:pPr>
      <w:spacing w:after="160" w:line="278" w:lineRule="auto"/>
    </w:pPr>
    <w:tblPr>
      <w:tblCellMar>
        <w:left w:w="0" w:type="dxa"/>
        <w:top w:w="0" w:type="dxa"/>
        <w:right w:w="0" w:type="dxa"/>
        <w:bottom w:w="0" w:type="dxa"/>
      </w:tblCellMar>
    </w:tblPr>
  </w:style>
  <w:style w:type="table" w:styleId="1245" w:customStyle="1">
    <w:name w:val="清单表 31"/>
    <w:uiPriority w:val="99"/>
    <w:qFormat/>
    <w:pPr>
      <w:spacing w:after="160" w:line="278" w:lineRule="auto"/>
    </w:pPr>
    <w:tblPr>
      <w:tblCellMar>
        <w:left w:w="0" w:type="dxa"/>
        <w:top w:w="0" w:type="dxa"/>
        <w:right w:w="0" w:type="dxa"/>
        <w:bottom w:w="0" w:type="dxa"/>
      </w:tblCellMar>
    </w:tblPr>
  </w:style>
  <w:style w:type="table" w:styleId="1246" w:customStyle="1">
    <w:name w:val="List Table 6 Colorful - Accent 4"/>
    <w:uiPriority w:val="99"/>
    <w:qFormat/>
    <w:pPr>
      <w:spacing w:after="160" w:line="278" w:lineRule="auto"/>
    </w:pPr>
    <w:tblPr>
      <w:tblCellMar>
        <w:left w:w="0" w:type="dxa"/>
        <w:top w:w="0" w:type="dxa"/>
        <w:right w:w="0" w:type="dxa"/>
        <w:bottom w:w="0" w:type="dxa"/>
      </w:tblCellMar>
    </w:tblPr>
  </w:style>
  <w:style w:type="table" w:styleId="1247" w:customStyle="1">
    <w:name w:val="Bordered &amp; Lined - Accent 3"/>
    <w:uiPriority w:val="99"/>
    <w:qFormat/>
    <w:pPr>
      <w:spacing w:after="160" w:line="278" w:lineRule="auto"/>
    </w:pPr>
    <w:rPr>
      <w:color w:val="404040"/>
    </w:rPr>
    <w:tblPr>
      <w:tblCellMar>
        <w:left w:w="0" w:type="dxa"/>
        <w:top w:w="0" w:type="dxa"/>
        <w:right w:w="0" w:type="dxa"/>
        <w:bottom w:w="0" w:type="dxa"/>
      </w:tblCellMar>
    </w:tblPr>
  </w:style>
  <w:style w:type="table" w:styleId="1248" w:customStyle="1">
    <w:name w:val="网格表 31"/>
    <w:uiPriority w:val="99"/>
    <w:qFormat/>
    <w:pPr>
      <w:spacing w:after="160" w:line="278" w:lineRule="auto"/>
    </w:pPr>
    <w:tblPr>
      <w:tblCellMar>
        <w:left w:w="0" w:type="dxa"/>
        <w:top w:w="0" w:type="dxa"/>
        <w:right w:w="0" w:type="dxa"/>
        <w:bottom w:w="0" w:type="dxa"/>
      </w:tblCellMar>
    </w:tblPr>
  </w:style>
  <w:style w:type="table" w:styleId="1249" w:customStyle="1">
    <w:name w:val="Grid Table 7 Colorful - Accent 5"/>
    <w:uiPriority w:val="99"/>
    <w:qFormat/>
    <w:pPr>
      <w:spacing w:after="160" w:line="278" w:lineRule="auto"/>
    </w:pPr>
    <w:tblPr>
      <w:tblCellMar>
        <w:left w:w="0" w:type="dxa"/>
        <w:top w:w="0" w:type="dxa"/>
        <w:right w:w="0" w:type="dxa"/>
        <w:bottom w:w="0" w:type="dxa"/>
      </w:tblCellMar>
    </w:tblPr>
  </w:style>
  <w:style w:type="table" w:styleId="1250" w:customStyle="1">
    <w:name w:val="Bordered &amp; Lined - Accent"/>
    <w:uiPriority w:val="99"/>
    <w:qFormat/>
    <w:pPr>
      <w:spacing w:after="160" w:line="278" w:lineRule="auto"/>
    </w:pPr>
    <w:rPr>
      <w:color w:val="404040"/>
    </w:rPr>
    <w:tblPr>
      <w:tblCellMar>
        <w:left w:w="0" w:type="dxa"/>
        <w:top w:w="0" w:type="dxa"/>
        <w:right w:w="0" w:type="dxa"/>
        <w:bottom w:w="0" w:type="dxa"/>
      </w:tblCellMar>
    </w:tblPr>
  </w:style>
  <w:style w:type="table" w:styleId="1251" w:customStyle="1">
    <w:name w:val="Grid Table 3 - Accent 3"/>
    <w:uiPriority w:val="99"/>
    <w:qFormat/>
    <w:pPr>
      <w:spacing w:after="160" w:line="278" w:lineRule="auto"/>
    </w:pPr>
    <w:tblPr>
      <w:tblCellMar>
        <w:left w:w="0" w:type="dxa"/>
        <w:top w:w="0" w:type="dxa"/>
        <w:right w:w="0" w:type="dxa"/>
        <w:bottom w:w="0" w:type="dxa"/>
      </w:tblCellMar>
    </w:tblPr>
  </w:style>
  <w:style w:type="table" w:styleId="1252" w:customStyle="1">
    <w:name w:val="Grid Table 1 Light - Accent 6"/>
    <w:uiPriority w:val="99"/>
    <w:qFormat/>
    <w:pPr>
      <w:spacing w:after="160" w:line="278" w:lineRule="auto"/>
    </w:pPr>
    <w:tblPr>
      <w:tblCellMar>
        <w:left w:w="0" w:type="dxa"/>
        <w:top w:w="0" w:type="dxa"/>
        <w:right w:w="0" w:type="dxa"/>
        <w:bottom w:w="0" w:type="dxa"/>
      </w:tblCellMar>
    </w:tblPr>
  </w:style>
  <w:style w:type="table" w:styleId="1253" w:customStyle="1">
    <w:name w:val="List Table 4 - Accent 5"/>
    <w:uiPriority w:val="99"/>
    <w:qFormat/>
    <w:pPr>
      <w:spacing w:after="160" w:line="278" w:lineRule="auto"/>
    </w:pPr>
    <w:tblPr>
      <w:tblCellMar>
        <w:left w:w="0" w:type="dxa"/>
        <w:top w:w="0" w:type="dxa"/>
        <w:right w:w="0" w:type="dxa"/>
        <w:bottom w:w="0" w:type="dxa"/>
      </w:tblCellMar>
    </w:tblPr>
  </w:style>
  <w:style w:type="table" w:styleId="1254" w:customStyle="1">
    <w:name w:val="Bordered - Accent 6"/>
    <w:uiPriority w:val="99"/>
    <w:pPr>
      <w:spacing w:after="160" w:line="278" w:lineRule="auto"/>
    </w:pPr>
    <w:tblPr>
      <w:tblCellMar>
        <w:left w:w="0" w:type="dxa"/>
        <w:top w:w="0" w:type="dxa"/>
        <w:right w:w="0" w:type="dxa"/>
        <w:bottom w:w="0" w:type="dxa"/>
      </w:tblCellMar>
    </w:tblPr>
  </w:style>
  <w:style w:type="table" w:styleId="1255" w:customStyle="1">
    <w:name w:val="Grid Table 6 Colorful - Accent 6"/>
    <w:uiPriority w:val="99"/>
    <w:qFormat/>
    <w:pPr>
      <w:spacing w:after="160" w:line="278" w:lineRule="auto"/>
    </w:pPr>
    <w:tblPr>
      <w:tblCellMar>
        <w:left w:w="0" w:type="dxa"/>
        <w:top w:w="0" w:type="dxa"/>
        <w:right w:w="0" w:type="dxa"/>
        <w:bottom w:w="0" w:type="dxa"/>
      </w:tblCellMar>
    </w:tblPr>
  </w:style>
  <w:style w:type="table" w:styleId="1256" w:customStyle="1">
    <w:name w:val="网格表 6 彩色1"/>
    <w:uiPriority w:val="99"/>
    <w:qFormat/>
    <w:pPr>
      <w:spacing w:after="160" w:line="278" w:lineRule="auto"/>
    </w:pPr>
    <w:tblPr>
      <w:tblCellMar>
        <w:left w:w="0" w:type="dxa"/>
        <w:top w:w="0" w:type="dxa"/>
        <w:right w:w="0" w:type="dxa"/>
        <w:bottom w:w="0" w:type="dxa"/>
      </w:tblCellMar>
    </w:tblPr>
  </w:style>
  <w:style w:type="table" w:styleId="1257" w:customStyle="1">
    <w:name w:val="Grid Table 7 Colorful - Accent 4"/>
    <w:uiPriority w:val="99"/>
    <w:qFormat/>
    <w:pPr>
      <w:spacing w:after="160" w:line="278" w:lineRule="auto"/>
    </w:pPr>
    <w:tblPr>
      <w:tblCellMar>
        <w:left w:w="0" w:type="dxa"/>
        <w:top w:w="0" w:type="dxa"/>
        <w:right w:w="0" w:type="dxa"/>
        <w:bottom w:w="0" w:type="dxa"/>
      </w:tblCellMar>
    </w:tblPr>
  </w:style>
  <w:style w:type="table" w:styleId="1258" w:customStyle="1">
    <w:name w:val="Lined - Accent 1"/>
    <w:uiPriority w:val="99"/>
    <w:pPr>
      <w:spacing w:after="160" w:line="278" w:lineRule="auto"/>
    </w:pPr>
    <w:rPr>
      <w:color w:val="404040"/>
    </w:rPr>
    <w:tblPr>
      <w:tblCellMar>
        <w:left w:w="0" w:type="dxa"/>
        <w:top w:w="0" w:type="dxa"/>
        <w:right w:w="0" w:type="dxa"/>
        <w:bottom w:w="0" w:type="dxa"/>
      </w:tblCellMar>
    </w:tblPr>
  </w:style>
  <w:style w:type="table" w:styleId="1259" w:customStyle="1">
    <w:name w:val="Grid Table 6 Colorful - Accent 4"/>
    <w:uiPriority w:val="99"/>
    <w:qFormat/>
    <w:pPr>
      <w:spacing w:after="160" w:line="278" w:lineRule="auto"/>
    </w:pPr>
    <w:tblPr>
      <w:tblCellMar>
        <w:left w:w="0" w:type="dxa"/>
        <w:top w:w="0" w:type="dxa"/>
        <w:right w:w="0" w:type="dxa"/>
        <w:bottom w:w="0" w:type="dxa"/>
      </w:tblCellMar>
    </w:tblPr>
  </w:style>
  <w:style w:type="table" w:styleId="1260" w:customStyle="1">
    <w:name w:val="Bordered &amp; Lined - Accent 1"/>
    <w:uiPriority w:val="99"/>
    <w:qFormat/>
    <w:pPr>
      <w:spacing w:after="160" w:line="278" w:lineRule="auto"/>
    </w:pPr>
    <w:rPr>
      <w:color w:val="404040"/>
    </w:rPr>
    <w:tblPr>
      <w:tblCellMar>
        <w:left w:w="0" w:type="dxa"/>
        <w:top w:w="0" w:type="dxa"/>
        <w:right w:w="0" w:type="dxa"/>
        <w:bottom w:w="0" w:type="dxa"/>
      </w:tblCellMar>
    </w:tblPr>
  </w:style>
  <w:style w:type="table" w:styleId="1261" w:customStyle="1">
    <w:name w:val="Grid Table 5 Dark- Accent 4"/>
    <w:uiPriority w:val="99"/>
    <w:qFormat/>
    <w:pPr>
      <w:spacing w:after="160" w:line="278" w:lineRule="auto"/>
    </w:pPr>
    <w:tblPr>
      <w:tblCellMar>
        <w:left w:w="0" w:type="dxa"/>
        <w:top w:w="0" w:type="dxa"/>
        <w:right w:w="0" w:type="dxa"/>
        <w:bottom w:w="0" w:type="dxa"/>
      </w:tblCellMar>
    </w:tblPr>
  </w:style>
  <w:style w:type="table" w:styleId="1262" w:customStyle="1">
    <w:name w:val="Grid Table 5 Dark - Accent 6"/>
    <w:uiPriority w:val="99"/>
    <w:qFormat/>
    <w:pPr>
      <w:spacing w:after="160" w:line="278" w:lineRule="auto"/>
    </w:pPr>
    <w:tblPr>
      <w:tblCellMar>
        <w:left w:w="0" w:type="dxa"/>
        <w:top w:w="0" w:type="dxa"/>
        <w:right w:w="0" w:type="dxa"/>
        <w:bottom w:w="0" w:type="dxa"/>
      </w:tblCellMar>
    </w:tblPr>
  </w:style>
  <w:style w:type="table" w:styleId="1263" w:customStyle="1">
    <w:name w:val="Grid Table 3 - Accent 1"/>
    <w:uiPriority w:val="99"/>
    <w:qFormat/>
    <w:pPr>
      <w:spacing w:after="160" w:line="278" w:lineRule="auto"/>
    </w:pPr>
    <w:tblPr>
      <w:tblCellMar>
        <w:left w:w="0" w:type="dxa"/>
        <w:top w:w="0" w:type="dxa"/>
        <w:right w:w="0" w:type="dxa"/>
        <w:bottom w:w="0" w:type="dxa"/>
      </w:tblCellMar>
    </w:tblPr>
  </w:style>
  <w:style w:type="table" w:styleId="1264" w:customStyle="1">
    <w:name w:val="Grid Table 1 Light - Accent 4"/>
    <w:uiPriority w:val="99"/>
    <w:qFormat/>
    <w:pPr>
      <w:spacing w:after="160" w:line="278" w:lineRule="auto"/>
    </w:pPr>
    <w:tblPr>
      <w:tblCellMar>
        <w:left w:w="0" w:type="dxa"/>
        <w:top w:w="0" w:type="dxa"/>
        <w:right w:w="0" w:type="dxa"/>
        <w:bottom w:w="0" w:type="dxa"/>
      </w:tblCellMar>
    </w:tblPr>
  </w:style>
  <w:style w:type="table" w:styleId="1265" w:customStyle="1">
    <w:name w:val="List Table 1 Light - Accent 1"/>
    <w:uiPriority w:val="99"/>
    <w:pPr>
      <w:spacing w:after="160" w:line="278" w:lineRule="auto"/>
    </w:pPr>
    <w:tblPr>
      <w:tblCellMar>
        <w:left w:w="0" w:type="dxa"/>
        <w:top w:w="0" w:type="dxa"/>
        <w:right w:w="0" w:type="dxa"/>
        <w:bottom w:w="0" w:type="dxa"/>
      </w:tblCellMar>
    </w:tblPr>
  </w:style>
  <w:style w:type="table" w:styleId="1266" w:customStyle="1">
    <w:name w:val="Grid Table 5 Dark - Accent 5"/>
    <w:uiPriority w:val="99"/>
    <w:pPr>
      <w:spacing w:after="160" w:line="278" w:lineRule="auto"/>
    </w:pPr>
    <w:tblPr>
      <w:tblCellMar>
        <w:left w:w="0" w:type="dxa"/>
        <w:top w:w="0" w:type="dxa"/>
        <w:right w:w="0" w:type="dxa"/>
        <w:bottom w:w="0" w:type="dxa"/>
      </w:tblCellMar>
    </w:tblPr>
  </w:style>
  <w:style w:type="table" w:styleId="1267" w:customStyle="1">
    <w:name w:val="无格式表格 51"/>
    <w:uiPriority w:val="99"/>
    <w:qFormat/>
    <w:pPr>
      <w:spacing w:after="160" w:line="278" w:lineRule="auto"/>
    </w:pPr>
    <w:tblPr>
      <w:tblCellMar>
        <w:left w:w="0" w:type="dxa"/>
        <w:top w:w="0" w:type="dxa"/>
        <w:right w:w="0" w:type="dxa"/>
        <w:bottom w:w="0" w:type="dxa"/>
      </w:tblCellMar>
    </w:tblPr>
  </w:style>
  <w:style w:type="paragraph" w:styleId="1268" w:customStyle="1">
    <w:name w:val="xl77"/>
    <w:basedOn w:val="722"/>
    <w:qFormat/>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69" w:customStyle="1">
    <w:name w:val="xl78"/>
    <w:basedOn w:val="722"/>
    <w:qFormat/>
    <w:pPr>
      <w:jc w:val="center"/>
      <w:spacing w:before="100" w:beforeAutospacing="1" w:after="100" w:afterAutospacing="1"/>
    </w:pPr>
    <w:rPr>
      <w:rFonts w:ascii="宋体" w:hAnsi="宋体" w:cs="宋体"/>
      <w:sz w:val="24"/>
    </w:rPr>
  </w:style>
  <w:style w:type="character" w:styleId="1270" w:customStyle="1">
    <w:name w:val="注释标题 字符2"/>
    <w:uiPriority w:val="99"/>
    <w:semiHidden/>
    <w:qFormat/>
    <w:rPr>
      <w:sz w:val="21"/>
      <w:szCs w:val="24"/>
    </w:rPr>
  </w:style>
  <w:style w:type="character" w:styleId="1271" w:customStyle="1">
    <w:name w:val="批注框文本 字符2"/>
    <w:uiPriority w:val="99"/>
    <w:semiHidden/>
    <w:qFormat/>
    <w:rPr>
      <w:sz w:val="18"/>
      <w:szCs w:val="18"/>
    </w:rPr>
  </w:style>
  <w:style w:type="character" w:styleId="1272" w:customStyle="1">
    <w:name w:val="纯文本 字符1"/>
    <w:uiPriority w:val="99"/>
    <w:semiHidden/>
    <w:qFormat/>
    <w:rPr>
      <w:rFonts w:ascii="宋体" w:hAnsi="Courier New" w:eastAsia="宋体" w:cs="Courier New"/>
      <w:sz w:val="21"/>
      <w:szCs w:val="24"/>
    </w:rPr>
  </w:style>
  <w:style w:type="character" w:styleId="1273" w:customStyle="1">
    <w:name w:val="正文文本 字符1"/>
    <w:uiPriority w:val="99"/>
    <w:semiHidden/>
    <w:rPr>
      <w:sz w:val="21"/>
      <w:szCs w:val="24"/>
    </w:rPr>
  </w:style>
  <w:style w:type="character" w:styleId="1274" w:customStyle="1">
    <w:name w:val="文档结构图 字符2"/>
    <w:uiPriority w:val="99"/>
    <w:semiHidden/>
    <w:qFormat/>
    <w:rPr>
      <w:rFonts w:ascii="Microsoft YaHei UI" w:eastAsia="Microsoft YaHei UI"/>
      <w:sz w:val="18"/>
      <w:szCs w:val="18"/>
    </w:rPr>
  </w:style>
  <w:style w:type="character" w:styleId="1275" w:customStyle="1">
    <w:name w:val="批注文字 字符2"/>
    <w:uiPriority w:val="99"/>
    <w:semiHidden/>
    <w:rPr>
      <w:sz w:val="21"/>
      <w:szCs w:val="24"/>
    </w:rPr>
  </w:style>
  <w:style w:type="character" w:styleId="1276" w:customStyle="1">
    <w:name w:val="批注主题 字符2"/>
    <w:uiPriority w:val="99"/>
    <w:semiHidden/>
    <w:qFormat/>
    <w:rPr>
      <w:b/>
      <w:bCs/>
      <w:sz w:val="21"/>
      <w:szCs w:val="24"/>
    </w:rPr>
  </w:style>
  <w:style w:type="character" w:styleId="1277" w:customStyle="1">
    <w:name w:val="正文文本缩进 字符2"/>
    <w:uiPriority w:val="99"/>
    <w:semiHidden/>
    <w:rPr>
      <w:sz w:val="21"/>
      <w:szCs w:val="24"/>
    </w:rPr>
  </w:style>
  <w:style w:type="character" w:styleId="1278" w:customStyle="1">
    <w:name w:val="日期 字符3"/>
    <w:uiPriority w:val="99"/>
    <w:semiHidden/>
    <w:rPr>
      <w:sz w:val="21"/>
      <w:szCs w:val="24"/>
    </w:rPr>
  </w:style>
  <w:style w:type="character" w:styleId="1279" w:customStyle="1">
    <w:name w:val="正文文本缩进 3 字符2"/>
    <w:uiPriority w:val="99"/>
    <w:semiHidden/>
    <w:qFormat/>
    <w:rPr>
      <w:sz w:val="16"/>
      <w:szCs w:val="16"/>
    </w:rPr>
  </w:style>
  <w:style w:type="character" w:styleId="1280" w:customStyle="1">
    <w:name w:val="正文文本缩进 2 字符2"/>
    <w:uiPriority w:val="99"/>
    <w:semiHidden/>
    <w:rPr>
      <w:sz w:val="21"/>
      <w:szCs w:val="24"/>
    </w:rPr>
  </w:style>
  <w:style w:type="character" w:styleId="1281" w:customStyle="1">
    <w:name w:val="正文文本 2 字符1"/>
    <w:uiPriority w:val="99"/>
    <w:semiHidden/>
    <w:rPr>
      <w:sz w:val="21"/>
      <w:szCs w:val="24"/>
    </w:rPr>
  </w:style>
  <w:style w:type="character" w:styleId="1282" w:customStyle="1">
    <w:name w:val="正文文本首行缩进 2 字符2"/>
    <w:link w:val="779"/>
    <w:uiPriority w:val="99"/>
    <w:semiHidden/>
    <w:qFormat/>
    <w:rPr>
      <w:rFonts w:ascii="宋体" w:hAnsi="Times New Roman"/>
      <w:sz w:val="21"/>
      <w:szCs w:val="24"/>
    </w:rPr>
  </w:style>
  <w:style w:type="paragraph" w:styleId="1283" w:customStyle="1">
    <w:name w:val="正文1"/>
    <w:basedOn w:val="722"/>
    <w:next w:val="722"/>
    <w:qFormat/>
    <w:pPr>
      <w:ind w:left="420" w:firstLine="527"/>
      <w:jc w:val="both"/>
      <w:spacing w:before="120" w:line="360" w:lineRule="auto"/>
      <w:widowControl w:val="off"/>
    </w:pPr>
    <w:rPr>
      <w:rFonts w:ascii="宋体" w:hAnsi="宋体"/>
    </w:rPr>
  </w:style>
  <w:style w:type="character" w:styleId="1284" w:customStyle="1">
    <w:name w:val="纯文本 字符2"/>
    <w:uiPriority w:val="99"/>
    <w:qFormat/>
    <w:rPr>
      <w:rFonts w:ascii="宋体" w:hAnsi="Courier New" w:eastAsia="楷体_GB2312"/>
      <w:sz w:val="26"/>
    </w:rPr>
  </w:style>
  <w:style w:type="paragraph" w:styleId="1285" w:customStyle="1">
    <w:name w:val="xl79"/>
    <w:basedOn w:val="722"/>
    <w:pPr>
      <w:spacing w:before="100" w:beforeAutospacing="1" w:after="100" w:afterAutospacing="1"/>
      <w:pBdr>
        <w:top w:val="single" w:color="000000" w:sz="8" w:space="0"/>
        <w:bottom w:val="single" w:color="000000" w:sz="4" w:space="0"/>
        <w:right w:val="single" w:color="000000" w:sz="8" w:space="0"/>
      </w:pBdr>
    </w:pPr>
    <w:rPr>
      <w:rFonts w:ascii="黑体" w:hAnsi="黑体" w:eastAsia="黑体" w:cs="宋体"/>
      <w:szCs w:val="21"/>
    </w:rPr>
  </w:style>
  <w:style w:type="paragraph" w:styleId="1286" w:customStyle="1">
    <w:name w:val="xl80"/>
    <w:basedOn w:val="722"/>
    <w:pPr>
      <w:spacing w:before="100" w:beforeAutospacing="1" w:after="100" w:afterAutospacing="1"/>
      <w:pBdr>
        <w:top w:val="single" w:color="000000" w:sz="8" w:space="0"/>
        <w:bottom w:val="single" w:color="000000" w:sz="4" w:space="0"/>
      </w:pBdr>
    </w:pPr>
    <w:rPr>
      <w:rFonts w:ascii="黑体" w:hAnsi="黑体" w:eastAsia="黑体" w:cs="宋体"/>
      <w:szCs w:val="21"/>
    </w:rPr>
  </w:style>
  <w:style w:type="paragraph" w:styleId="1287" w:customStyle="1">
    <w:name w:val="xl81"/>
    <w:basedOn w:val="722"/>
    <w:pPr>
      <w:jc w:val="center"/>
      <w:spacing w:before="100" w:beforeAutospacing="1" w:after="100" w:afterAutospacing="1"/>
      <w:pBdr>
        <w:bottom w:val="single" w:color="000000" w:sz="8" w:space="0"/>
        <w:right w:val="single" w:color="000000" w:sz="4" w:space="0"/>
      </w:pBdr>
    </w:pPr>
    <w:rPr>
      <w:rFonts w:ascii="宋体" w:hAnsi="宋体" w:cs="宋体"/>
      <w:szCs w:val="21"/>
    </w:rPr>
  </w:style>
  <w:style w:type="paragraph" w:styleId="1288" w:customStyle="1">
    <w:name w:val="xl82"/>
    <w:basedOn w:val="722"/>
    <w:pPr>
      <w:spacing w:before="100" w:beforeAutospacing="1" w:after="100" w:afterAutospacing="1"/>
      <w:pBdr>
        <w:top w:val="single" w:color="000000" w:sz="8" w:space="0"/>
        <w:bottom w:val="single" w:color="000000" w:sz="4" w:space="0"/>
        <w:right w:val="single" w:color="000000" w:sz="8" w:space="0"/>
      </w:pBdr>
    </w:pPr>
    <w:rPr>
      <w:rFonts w:ascii="黑体" w:hAnsi="黑体" w:eastAsia="黑体" w:cs="宋体"/>
      <w:szCs w:val="21"/>
    </w:rPr>
  </w:style>
  <w:style w:type="paragraph" w:styleId="1289" w:customStyle="1">
    <w:name w:val="正文文本11"/>
    <w:basedOn w:val="722"/>
    <w:next w:val="722"/>
    <w:uiPriority w:val="99"/>
    <w:qFormat/>
    <w:pPr>
      <w:jc w:val="both"/>
      <w:spacing w:after="120" w:line="278" w:lineRule="auto"/>
      <w:widowControl w:val="off"/>
    </w:pPr>
    <w:rPr>
      <w:sz w:val="20"/>
      <w:szCs w:val="20"/>
    </w:rPr>
  </w:style>
  <w:style w:type="paragraph" w:styleId="1290" w:customStyle="1">
    <w:name w:val="正文缩进111"/>
    <w:basedOn w:val="722"/>
    <w:next w:val="722"/>
    <w:qFormat/>
    <w:pPr>
      <w:ind w:firstLine="420"/>
      <w:spacing w:after="160" w:line="278" w:lineRule="auto"/>
      <w:widowControl w:val="off"/>
    </w:pPr>
    <w:rPr>
      <w:rFonts w:eastAsia="楷体_GB2312"/>
      <w:sz w:val="24"/>
      <w:szCs w:val="20"/>
    </w:rPr>
  </w:style>
  <w:style w:type="paragraph" w:styleId="1291">
    <w:name w:val="Body Text First Indent"/>
    <w:link w:val="1292"/>
    <w:qFormat/>
    <w:pPr>
      <w:ind w:firstLine="420"/>
      <w:jc w:val="center"/>
      <w:spacing w:after="120" w:line="360" w:lineRule="auto"/>
      <w:widowControl w:val="off"/>
      <w:tabs>
        <w:tab w:val="left" w:pos="5250" w:leader="none"/>
      </w:tabs>
    </w:pPr>
    <w:rPr>
      <w:rFonts w:ascii="宋体" w:hAnsi="宋体"/>
      <w:sz w:val="24"/>
      <w:szCs w:val="24"/>
    </w:rPr>
  </w:style>
  <w:style w:type="character" w:styleId="1292" w:customStyle="1">
    <w:name w:val="正文文本首行缩进 字符"/>
    <w:basedOn w:val="960"/>
    <w:link w:val="1291"/>
    <w:qFormat/>
    <w:rPr>
      <w:rFonts w:ascii="宋体" w:hAnsi="宋体"/>
      <w:sz w:val="24"/>
      <w:szCs w:val="24"/>
    </w:rPr>
  </w:style>
  <w:style w:type="paragraph" w:styleId="1293">
    <w:name w:val="List"/>
    <w:basedOn w:val="722"/>
    <w:qFormat/>
    <w:pPr>
      <w:jc w:val="center"/>
      <w:spacing w:after="160" w:line="20" w:lineRule="atLeast"/>
      <w:widowControl w:val="off"/>
    </w:pPr>
    <w:rPr>
      <w:rFonts w:ascii="Arial" w:hAnsi="Arial" w:eastAsia="幼圆_GB2312"/>
      <w:sz w:val="18"/>
    </w:rPr>
  </w:style>
  <w:style w:type="table" w:styleId="1294">
    <w:name w:val="Medium Grid 3"/>
    <w:basedOn w:val="733"/>
    <w:uiPriority w:val="69"/>
    <w:qFormat/>
    <w:pPr>
      <w:spacing w:after="160" w:line="278" w:lineRule="auto"/>
    </w:p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cce8c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295">
    <w:name w:val="Medium Grid 3 Accent 1"/>
    <w:basedOn w:val="733"/>
    <w:uiPriority w:val="69"/>
    <w:pPr>
      <w:spacing w:after="160" w:line="278" w:lineRule="auto"/>
    </w:p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4f81bd"/>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cce8c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296">
    <w:name w:val="Medium Grid 3 Accent 2"/>
    <w:basedOn w:val="733"/>
    <w:uiPriority w:val="69"/>
    <w:pPr>
      <w:spacing w:after="160" w:line="278" w:lineRule="auto"/>
    </w:p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c0504d"/>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cce8c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297">
    <w:name w:val="Medium Grid 3 Accent 3"/>
    <w:basedOn w:val="733"/>
    <w:uiPriority w:val="69"/>
    <w:qFormat/>
    <w:pPr>
      <w:spacing w:after="160" w:line="278" w:lineRule="auto"/>
    </w:p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9bbb59"/>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cce8c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298">
    <w:name w:val="Medium Grid 3 Accent 4"/>
    <w:basedOn w:val="733"/>
    <w:uiPriority w:val="69"/>
    <w:pPr>
      <w:spacing w:after="160" w:line="278" w:lineRule="auto"/>
    </w:p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8064a2"/>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cce8c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299">
    <w:name w:val="Medium Grid 3 Accent 5"/>
    <w:basedOn w:val="733"/>
    <w:uiPriority w:val="69"/>
    <w:qFormat/>
    <w:pPr>
      <w:spacing w:after="160" w:line="278" w:lineRule="auto"/>
    </w:p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4bacc6"/>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cce8c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300">
    <w:name w:val="Medium Grid 3 Accent 6"/>
    <w:basedOn w:val="733"/>
    <w:uiPriority w:val="69"/>
    <w:pPr>
      <w:spacing w:after="160" w:line="278" w:lineRule="auto"/>
    </w:p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f79646"/>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cce8c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1301" w:customStyle="1">
    <w:name w:val="NormalCharacter"/>
    <w:qFormat/>
  </w:style>
  <w:style w:type="paragraph" w:styleId="1302" w:customStyle="1">
    <w:name w:val="&quot;普通(网站)1&quot;"/>
    <w:basedOn w:val="722"/>
    <w:qFormat/>
    <w:pPr>
      <w:spacing w:beforeAutospacing="1" w:after="160" w:afterAutospacing="1" w:line="278" w:lineRule="auto"/>
      <w:widowControl w:val="off"/>
    </w:pPr>
    <w:rPr>
      <w:sz w:val="24"/>
    </w:rPr>
  </w:style>
  <w:style w:type="paragraph" w:styleId="1303" w:customStyle="1">
    <w:name w:val="&quot;纯文本111&quot;"/>
    <w:basedOn w:val="722"/>
    <w:qFormat/>
    <w:pPr>
      <w:spacing w:after="160" w:line="278" w:lineRule="auto"/>
    </w:pPr>
    <w:rPr>
      <w:rFonts w:ascii="宋体" w:hAnsi="Courier New" w:eastAsia="楷体_GB2312" w:cs="宋体"/>
      <w:sz w:val="26"/>
    </w:rPr>
  </w:style>
  <w:style w:type="paragraph" w:styleId="1304" w:customStyle="1">
    <w:name w:val="&quot;正文缩进1&quot;"/>
    <w:basedOn w:val="722"/>
    <w:qFormat/>
    <w:pPr>
      <w:ind w:firstLine="420"/>
      <w:spacing w:after="160" w:line="278" w:lineRule="auto"/>
      <w:widowControl w:val="off"/>
    </w:pPr>
    <w:rPr>
      <w:rFonts w:eastAsia="楷体_GB2312"/>
      <w:sz w:val="24"/>
      <w:szCs w:val="20"/>
    </w:rPr>
  </w:style>
  <w:style w:type="paragraph" w:styleId="1305" w:customStyle="1">
    <w:name w:val="&quot;PlainText1&quot;"/>
    <w:basedOn w:val="722"/>
    <w:qFormat/>
    <w:pPr>
      <w:jc w:val="both"/>
      <w:spacing w:after="160" w:line="278" w:lineRule="auto"/>
      <w:widowControl w:val="off"/>
    </w:pPr>
    <w:rPr>
      <w:rFonts w:ascii="宋体" w:hAnsi="Courier New" w:eastAsia="楷体_GB2312" w:cs="宋体"/>
      <w:sz w:val="28"/>
    </w:rPr>
  </w:style>
  <w:style w:type="paragraph" w:styleId="1306" w:customStyle="1">
    <w:name w:val="&quot;正文文本缩进 21&quot;"/>
    <w:basedOn w:val="722"/>
    <w:qFormat/>
    <w:pPr>
      <w:ind w:left="1" w:firstLine="480"/>
      <w:jc w:val="both"/>
      <w:spacing w:after="160" w:line="400" w:lineRule="exact"/>
      <w:widowControl w:val="off"/>
      <w:tabs>
        <w:tab w:val="left" w:pos="360" w:leader="none"/>
      </w:tabs>
    </w:pPr>
    <w:rPr>
      <w:sz w:val="24"/>
    </w:rPr>
  </w:style>
  <w:style w:type="paragraph" w:styleId="1307" w:customStyle="1">
    <w:name w:val="&quot;页脚1&quot;"/>
    <w:basedOn w:val="722"/>
    <w:qFormat/>
    <w:pPr>
      <w:spacing w:after="160" w:line="278" w:lineRule="auto"/>
      <w:widowControl w:val="off"/>
      <w:tabs>
        <w:tab w:val="center" w:pos="4140" w:leader="none"/>
        <w:tab w:val="right" w:pos="8300" w:leader="none"/>
      </w:tabs>
    </w:pPr>
    <w:rPr>
      <w:rFonts w:ascii="Calibri" w:hAnsi="Calibri" w:cs="Calibri"/>
      <w:sz w:val="18"/>
    </w:rPr>
  </w:style>
  <w:style w:type="paragraph" w:styleId="1308" w:customStyle="1">
    <w:name w:val="&quot;目录 11&quot;"/>
    <w:basedOn w:val="722"/>
    <w:qFormat/>
    <w:pPr>
      <w:spacing w:after="160" w:line="278" w:lineRule="auto"/>
      <w:widowControl w:val="off"/>
    </w:pPr>
    <w:rPr>
      <w:rFonts w:eastAsia="楷体_GB2312"/>
      <w:sz w:val="24"/>
      <w:szCs w:val="20"/>
    </w:rPr>
  </w:style>
  <w:style w:type="paragraph" w:styleId="1309" w:customStyle="1">
    <w:name w:val="&quot;普通(网站)1&quot;1"/>
    <w:basedOn w:val="722"/>
    <w:qFormat/>
    <w:pPr>
      <w:spacing w:beforeAutospacing="1" w:after="160" w:afterAutospacing="1" w:line="278" w:lineRule="auto"/>
      <w:widowControl w:val="off"/>
    </w:pPr>
    <w:rPr>
      <w:sz w:val="24"/>
    </w:rPr>
  </w:style>
  <w:style w:type="paragraph" w:styleId="1310" w:customStyle="1">
    <w:name w:val="&quot;纯文本111&quot;1"/>
    <w:basedOn w:val="722"/>
    <w:qFormat/>
    <w:pPr>
      <w:spacing w:after="160" w:line="278" w:lineRule="auto"/>
    </w:pPr>
    <w:rPr>
      <w:rFonts w:ascii="宋体" w:hAnsi="Courier New" w:eastAsia="楷体_GB2312" w:cs="宋体"/>
      <w:sz w:val="26"/>
    </w:rPr>
  </w:style>
  <w:style w:type="paragraph" w:styleId="1311" w:customStyle="1">
    <w:name w:val="&quot;正文缩进1&quot;1"/>
    <w:basedOn w:val="722"/>
    <w:qFormat/>
    <w:pPr>
      <w:ind w:firstLine="420"/>
      <w:spacing w:after="160" w:line="278" w:lineRule="auto"/>
      <w:widowControl w:val="off"/>
    </w:pPr>
    <w:rPr>
      <w:rFonts w:eastAsia="楷体_GB2312"/>
      <w:sz w:val="24"/>
      <w:szCs w:val="20"/>
    </w:rPr>
  </w:style>
  <w:style w:type="paragraph" w:styleId="1312" w:customStyle="1">
    <w:name w:val="&quot;PlainText1&quot;1"/>
    <w:basedOn w:val="722"/>
    <w:qFormat/>
    <w:pPr>
      <w:jc w:val="both"/>
      <w:spacing w:after="160" w:line="278" w:lineRule="auto"/>
      <w:widowControl w:val="off"/>
    </w:pPr>
    <w:rPr>
      <w:rFonts w:ascii="宋体" w:hAnsi="Courier New" w:eastAsia="楷体_GB2312" w:cs="宋体"/>
      <w:sz w:val="28"/>
    </w:rPr>
  </w:style>
  <w:style w:type="paragraph" w:styleId="1313" w:customStyle="1">
    <w:name w:val="&quot;正文文本缩进 21&quot;1"/>
    <w:basedOn w:val="722"/>
    <w:qFormat/>
    <w:pPr>
      <w:ind w:left="1" w:firstLine="480"/>
      <w:jc w:val="both"/>
      <w:spacing w:after="160" w:line="400" w:lineRule="exact"/>
      <w:widowControl w:val="off"/>
      <w:tabs>
        <w:tab w:val="left" w:pos="360" w:leader="none"/>
      </w:tabs>
    </w:pPr>
    <w:rPr>
      <w:sz w:val="24"/>
    </w:rPr>
  </w:style>
  <w:style w:type="paragraph" w:styleId="1314" w:customStyle="1">
    <w:name w:val="&quot;页脚1&quot;1"/>
    <w:basedOn w:val="722"/>
    <w:qFormat/>
    <w:pPr>
      <w:spacing w:after="160" w:line="278" w:lineRule="auto"/>
      <w:widowControl w:val="off"/>
      <w:tabs>
        <w:tab w:val="center" w:pos="4140" w:leader="none"/>
        <w:tab w:val="right" w:pos="8300" w:leader="none"/>
      </w:tabs>
    </w:pPr>
    <w:rPr>
      <w:rFonts w:ascii="Calibri" w:hAnsi="Calibri" w:cs="Calibri"/>
      <w:sz w:val="18"/>
    </w:rPr>
  </w:style>
  <w:style w:type="paragraph" w:styleId="1315" w:customStyle="1">
    <w:name w:val="&quot;目录 11&quot;1"/>
    <w:basedOn w:val="722"/>
    <w:qFormat/>
    <w:pPr>
      <w:spacing w:after="160" w:line="278" w:lineRule="auto"/>
      <w:widowControl w:val="off"/>
    </w:pPr>
    <w:rPr>
      <w:rFonts w:eastAsia="楷体_GB2312"/>
      <w:sz w:val="24"/>
      <w:szCs w:val="20"/>
    </w:rPr>
  </w:style>
  <w:style w:type="paragraph" w:styleId="1316" w:customStyle="1">
    <w:name w:val="&quot;普通(网站)1&quot;2"/>
    <w:basedOn w:val="722"/>
    <w:qFormat/>
    <w:pPr>
      <w:spacing w:beforeAutospacing="1" w:after="160" w:afterAutospacing="1" w:line="278" w:lineRule="auto"/>
      <w:widowControl w:val="off"/>
    </w:pPr>
    <w:rPr>
      <w:sz w:val="24"/>
    </w:rPr>
  </w:style>
  <w:style w:type="paragraph" w:styleId="1317" w:customStyle="1">
    <w:name w:val="&quot;纯文本111&quot;2"/>
    <w:basedOn w:val="722"/>
    <w:qFormat/>
    <w:pPr>
      <w:spacing w:after="160" w:line="278" w:lineRule="auto"/>
    </w:pPr>
    <w:rPr>
      <w:rFonts w:ascii="宋体" w:hAnsi="Courier New" w:eastAsia="楷体_GB2312" w:cs="宋体"/>
      <w:sz w:val="26"/>
    </w:rPr>
  </w:style>
  <w:style w:type="paragraph" w:styleId="1318" w:customStyle="1">
    <w:name w:val="&quot;正文缩进1&quot;2"/>
    <w:basedOn w:val="722"/>
    <w:qFormat/>
    <w:pPr>
      <w:ind w:firstLine="420"/>
      <w:spacing w:after="160" w:line="278" w:lineRule="auto"/>
      <w:widowControl w:val="off"/>
    </w:pPr>
    <w:rPr>
      <w:rFonts w:eastAsia="楷体_GB2312"/>
      <w:sz w:val="24"/>
      <w:szCs w:val="20"/>
    </w:rPr>
  </w:style>
  <w:style w:type="paragraph" w:styleId="1319" w:customStyle="1">
    <w:name w:val="&quot;PlainText1&quot;2"/>
    <w:basedOn w:val="722"/>
    <w:qFormat/>
    <w:pPr>
      <w:jc w:val="both"/>
      <w:spacing w:after="160" w:line="278" w:lineRule="auto"/>
      <w:widowControl w:val="off"/>
    </w:pPr>
    <w:rPr>
      <w:rFonts w:ascii="宋体" w:hAnsi="Courier New" w:eastAsia="楷体_GB2312" w:cs="宋体"/>
      <w:sz w:val="28"/>
    </w:rPr>
  </w:style>
  <w:style w:type="paragraph" w:styleId="1320" w:customStyle="1">
    <w:name w:val="&quot;正文文本缩进 21&quot;2"/>
    <w:basedOn w:val="722"/>
    <w:qFormat/>
    <w:pPr>
      <w:ind w:left="1" w:firstLine="480"/>
      <w:jc w:val="both"/>
      <w:spacing w:after="160" w:line="400" w:lineRule="exact"/>
      <w:widowControl w:val="off"/>
      <w:tabs>
        <w:tab w:val="left" w:pos="360" w:leader="none"/>
      </w:tabs>
    </w:pPr>
    <w:rPr>
      <w:sz w:val="24"/>
    </w:rPr>
  </w:style>
  <w:style w:type="paragraph" w:styleId="1321" w:customStyle="1">
    <w:name w:val="&quot;页脚1&quot;2"/>
    <w:basedOn w:val="722"/>
    <w:qFormat/>
    <w:pPr>
      <w:spacing w:after="160" w:line="278" w:lineRule="auto"/>
      <w:widowControl w:val="off"/>
      <w:tabs>
        <w:tab w:val="center" w:pos="4140" w:leader="none"/>
        <w:tab w:val="right" w:pos="8300" w:leader="none"/>
      </w:tabs>
    </w:pPr>
    <w:rPr>
      <w:rFonts w:ascii="Calibri" w:hAnsi="Calibri" w:cs="Calibri"/>
      <w:sz w:val="18"/>
    </w:rPr>
  </w:style>
  <w:style w:type="paragraph" w:styleId="1322" w:customStyle="1">
    <w:name w:val="&quot;目录 11&quot;2"/>
    <w:basedOn w:val="722"/>
    <w:qFormat/>
    <w:pPr>
      <w:spacing w:after="160" w:line="278" w:lineRule="auto"/>
      <w:widowControl w:val="off"/>
    </w:pPr>
    <w:rPr>
      <w:rFonts w:eastAsia="楷体_GB2312"/>
      <w:sz w:val="24"/>
      <w:szCs w:val="20"/>
    </w:rPr>
  </w:style>
  <w:style w:type="paragraph" w:styleId="1323" w:customStyle="1">
    <w:name w:val="&quot;普通(网站)1&quot;3"/>
    <w:basedOn w:val="722"/>
    <w:qFormat/>
    <w:pPr>
      <w:spacing w:beforeAutospacing="1" w:after="160" w:afterAutospacing="1" w:line="278" w:lineRule="auto"/>
      <w:widowControl w:val="off"/>
    </w:pPr>
    <w:rPr>
      <w:sz w:val="24"/>
    </w:rPr>
  </w:style>
  <w:style w:type="paragraph" w:styleId="1324" w:customStyle="1">
    <w:name w:val="&quot;纯文本111&quot;3"/>
    <w:basedOn w:val="722"/>
    <w:qFormat/>
    <w:pPr>
      <w:spacing w:after="160" w:line="278" w:lineRule="auto"/>
    </w:pPr>
    <w:rPr>
      <w:rFonts w:ascii="宋体" w:hAnsi="Courier New" w:eastAsia="楷体_GB2312" w:cs="宋体"/>
      <w:sz w:val="26"/>
    </w:rPr>
  </w:style>
  <w:style w:type="paragraph" w:styleId="1325" w:customStyle="1">
    <w:name w:val="&quot;正文缩进1&quot;3"/>
    <w:basedOn w:val="722"/>
    <w:qFormat/>
    <w:pPr>
      <w:ind w:firstLine="420"/>
      <w:spacing w:after="160" w:line="278" w:lineRule="auto"/>
      <w:widowControl w:val="off"/>
    </w:pPr>
    <w:rPr>
      <w:rFonts w:eastAsia="楷体_GB2312"/>
      <w:sz w:val="24"/>
      <w:szCs w:val="20"/>
    </w:rPr>
  </w:style>
  <w:style w:type="paragraph" w:styleId="1326" w:customStyle="1">
    <w:name w:val="&quot;PlainText1&quot;3"/>
    <w:basedOn w:val="722"/>
    <w:qFormat/>
    <w:pPr>
      <w:jc w:val="both"/>
      <w:spacing w:after="160" w:line="278" w:lineRule="auto"/>
      <w:widowControl w:val="off"/>
    </w:pPr>
    <w:rPr>
      <w:rFonts w:ascii="宋体" w:hAnsi="Courier New" w:eastAsia="楷体_GB2312" w:cs="宋体"/>
      <w:sz w:val="28"/>
    </w:rPr>
  </w:style>
  <w:style w:type="paragraph" w:styleId="1327" w:customStyle="1">
    <w:name w:val="&quot;正文文本缩进 21&quot;3"/>
    <w:basedOn w:val="722"/>
    <w:qFormat/>
    <w:pPr>
      <w:ind w:left="1" w:firstLine="480"/>
      <w:jc w:val="both"/>
      <w:spacing w:after="160" w:line="400" w:lineRule="exact"/>
      <w:widowControl w:val="off"/>
      <w:tabs>
        <w:tab w:val="left" w:pos="360" w:leader="none"/>
      </w:tabs>
    </w:pPr>
    <w:rPr>
      <w:sz w:val="24"/>
    </w:rPr>
  </w:style>
  <w:style w:type="paragraph" w:styleId="1328" w:customStyle="1">
    <w:name w:val="&quot;页脚1&quot;3"/>
    <w:basedOn w:val="722"/>
    <w:qFormat/>
    <w:pPr>
      <w:spacing w:after="160" w:line="278" w:lineRule="auto"/>
      <w:widowControl w:val="off"/>
      <w:tabs>
        <w:tab w:val="center" w:pos="4140" w:leader="none"/>
        <w:tab w:val="right" w:pos="8300" w:leader="none"/>
      </w:tabs>
    </w:pPr>
    <w:rPr>
      <w:rFonts w:ascii="Calibri" w:hAnsi="Calibri" w:cs="Calibri"/>
      <w:sz w:val="18"/>
    </w:rPr>
  </w:style>
  <w:style w:type="paragraph" w:styleId="1329" w:customStyle="1">
    <w:name w:val="&quot;目录 11&quot;3"/>
    <w:basedOn w:val="722"/>
    <w:qFormat/>
    <w:pPr>
      <w:spacing w:after="160" w:line="278" w:lineRule="auto"/>
      <w:widowControl w:val="off"/>
    </w:pPr>
    <w:rPr>
      <w:rFonts w:eastAsia="楷体_GB2312"/>
      <w:sz w:val="24"/>
      <w:szCs w:val="20"/>
    </w:rPr>
  </w:style>
  <w:style w:type="paragraph" w:styleId="1330" w:customStyle="1">
    <w:name w:val="&quot;普通(网站)1&quot;4"/>
    <w:basedOn w:val="722"/>
    <w:qFormat/>
    <w:pPr>
      <w:spacing w:beforeAutospacing="1" w:after="160" w:afterAutospacing="1" w:line="278" w:lineRule="auto"/>
      <w:widowControl w:val="off"/>
    </w:pPr>
    <w:rPr>
      <w:sz w:val="24"/>
    </w:rPr>
  </w:style>
  <w:style w:type="paragraph" w:styleId="1331" w:customStyle="1">
    <w:name w:val="&quot;纯文本111&quot;4"/>
    <w:basedOn w:val="722"/>
    <w:qFormat/>
    <w:pPr>
      <w:spacing w:after="160" w:line="278" w:lineRule="auto"/>
    </w:pPr>
    <w:rPr>
      <w:rFonts w:ascii="宋体" w:hAnsi="Courier New" w:eastAsia="楷体_GB2312" w:cs="宋体"/>
      <w:sz w:val="26"/>
    </w:rPr>
  </w:style>
  <w:style w:type="paragraph" w:styleId="1332" w:customStyle="1">
    <w:name w:val="&quot;正文缩进1&quot;4"/>
    <w:basedOn w:val="722"/>
    <w:qFormat/>
    <w:pPr>
      <w:ind w:firstLine="420"/>
      <w:spacing w:after="160" w:line="278" w:lineRule="auto"/>
      <w:widowControl w:val="off"/>
    </w:pPr>
    <w:rPr>
      <w:rFonts w:eastAsia="楷体_GB2312"/>
      <w:sz w:val="24"/>
      <w:szCs w:val="20"/>
    </w:rPr>
  </w:style>
  <w:style w:type="paragraph" w:styleId="1333" w:customStyle="1">
    <w:name w:val="&quot;PlainText1&quot;4"/>
    <w:basedOn w:val="722"/>
    <w:qFormat/>
    <w:pPr>
      <w:jc w:val="both"/>
      <w:spacing w:after="160" w:line="278" w:lineRule="auto"/>
      <w:widowControl w:val="off"/>
    </w:pPr>
    <w:rPr>
      <w:rFonts w:ascii="宋体" w:hAnsi="Courier New" w:eastAsia="楷体_GB2312" w:cs="宋体"/>
      <w:sz w:val="28"/>
    </w:rPr>
  </w:style>
  <w:style w:type="paragraph" w:styleId="1334" w:customStyle="1">
    <w:name w:val="&quot;正文文本缩进 21&quot;4"/>
    <w:basedOn w:val="722"/>
    <w:qFormat/>
    <w:pPr>
      <w:ind w:left="1" w:firstLine="480"/>
      <w:jc w:val="both"/>
      <w:spacing w:after="160" w:line="400" w:lineRule="exact"/>
      <w:widowControl w:val="off"/>
      <w:tabs>
        <w:tab w:val="left" w:pos="360" w:leader="none"/>
      </w:tabs>
    </w:pPr>
    <w:rPr>
      <w:sz w:val="24"/>
    </w:rPr>
  </w:style>
  <w:style w:type="paragraph" w:styleId="1335" w:customStyle="1">
    <w:name w:val="&quot;页脚1&quot;4"/>
    <w:basedOn w:val="722"/>
    <w:qFormat/>
    <w:pPr>
      <w:spacing w:after="160" w:line="278" w:lineRule="auto"/>
      <w:widowControl w:val="off"/>
      <w:tabs>
        <w:tab w:val="center" w:pos="4140" w:leader="none"/>
        <w:tab w:val="right" w:pos="8300" w:leader="none"/>
      </w:tabs>
    </w:pPr>
    <w:rPr>
      <w:rFonts w:ascii="Calibri" w:hAnsi="Calibri" w:cs="Calibri"/>
      <w:sz w:val="18"/>
    </w:rPr>
  </w:style>
  <w:style w:type="paragraph" w:styleId="1336" w:customStyle="1">
    <w:name w:val="&quot;目录 11&quot;4"/>
    <w:basedOn w:val="722"/>
    <w:qFormat/>
    <w:pPr>
      <w:spacing w:after="160" w:line="278" w:lineRule="auto"/>
      <w:widowControl w:val="off"/>
    </w:pPr>
    <w:rPr>
      <w:rFonts w:eastAsia="楷体_GB2312"/>
      <w:sz w:val="24"/>
      <w:szCs w:val="20"/>
    </w:rPr>
  </w:style>
  <w:style w:type="paragraph" w:styleId="1337" w:customStyle="1">
    <w:name w:val="&quot;普通(网站)1&quot;5"/>
    <w:basedOn w:val="722"/>
    <w:qFormat/>
    <w:pPr>
      <w:spacing w:beforeAutospacing="1" w:after="160" w:afterAutospacing="1" w:line="278" w:lineRule="auto"/>
      <w:widowControl w:val="off"/>
    </w:pPr>
    <w:rPr>
      <w:sz w:val="24"/>
    </w:rPr>
  </w:style>
  <w:style w:type="paragraph" w:styleId="1338" w:customStyle="1">
    <w:name w:val="&quot;纯文本111&quot;5"/>
    <w:basedOn w:val="722"/>
    <w:qFormat/>
    <w:pPr>
      <w:spacing w:after="160" w:line="278" w:lineRule="auto"/>
    </w:pPr>
    <w:rPr>
      <w:rFonts w:ascii="宋体" w:hAnsi="Courier New" w:eastAsia="楷体_GB2312" w:cs="宋体"/>
      <w:sz w:val="26"/>
    </w:rPr>
  </w:style>
  <w:style w:type="paragraph" w:styleId="1339" w:customStyle="1">
    <w:name w:val="&quot;正文缩进1&quot;5"/>
    <w:basedOn w:val="722"/>
    <w:qFormat/>
    <w:pPr>
      <w:ind w:firstLine="420"/>
      <w:spacing w:after="160" w:line="278" w:lineRule="auto"/>
      <w:widowControl w:val="off"/>
    </w:pPr>
    <w:rPr>
      <w:rFonts w:eastAsia="楷体_GB2312"/>
      <w:sz w:val="24"/>
      <w:szCs w:val="20"/>
    </w:rPr>
  </w:style>
  <w:style w:type="paragraph" w:styleId="1340" w:customStyle="1">
    <w:name w:val="&quot;PlainText1&quot;5"/>
    <w:basedOn w:val="722"/>
    <w:qFormat/>
    <w:pPr>
      <w:jc w:val="both"/>
      <w:spacing w:after="160" w:line="278" w:lineRule="auto"/>
      <w:widowControl w:val="off"/>
    </w:pPr>
    <w:rPr>
      <w:rFonts w:ascii="宋体" w:hAnsi="Courier New" w:eastAsia="楷体_GB2312" w:cs="宋体"/>
      <w:sz w:val="28"/>
    </w:rPr>
  </w:style>
  <w:style w:type="paragraph" w:styleId="1341" w:customStyle="1">
    <w:name w:val="&quot;正文文本缩进 21&quot;5"/>
    <w:basedOn w:val="722"/>
    <w:qFormat/>
    <w:pPr>
      <w:ind w:left="1" w:firstLine="480"/>
      <w:jc w:val="both"/>
      <w:spacing w:after="160" w:line="400" w:lineRule="exact"/>
      <w:widowControl w:val="off"/>
      <w:tabs>
        <w:tab w:val="left" w:pos="360" w:leader="none"/>
      </w:tabs>
    </w:pPr>
    <w:rPr>
      <w:sz w:val="24"/>
    </w:rPr>
  </w:style>
  <w:style w:type="paragraph" w:styleId="1342" w:customStyle="1">
    <w:name w:val="&quot;页脚1&quot;5"/>
    <w:basedOn w:val="722"/>
    <w:qFormat/>
    <w:pPr>
      <w:spacing w:after="160" w:line="278" w:lineRule="auto"/>
      <w:widowControl w:val="off"/>
      <w:tabs>
        <w:tab w:val="center" w:pos="4140" w:leader="none"/>
        <w:tab w:val="right" w:pos="8300" w:leader="none"/>
      </w:tabs>
    </w:pPr>
    <w:rPr>
      <w:rFonts w:ascii="Calibri" w:hAnsi="Calibri" w:cs="Calibri"/>
      <w:sz w:val="18"/>
    </w:rPr>
  </w:style>
  <w:style w:type="paragraph" w:styleId="1343" w:customStyle="1">
    <w:name w:val="&quot;目录 11&quot;5"/>
    <w:basedOn w:val="722"/>
    <w:qFormat/>
    <w:pPr>
      <w:spacing w:after="160" w:line="278" w:lineRule="auto"/>
      <w:widowControl w:val="off"/>
    </w:pPr>
    <w:rPr>
      <w:rFonts w:eastAsia="楷体_GB2312"/>
      <w:sz w:val="24"/>
      <w:szCs w:val="20"/>
    </w:rPr>
  </w:style>
  <w:style w:type="paragraph" w:styleId="1344" w:customStyle="1">
    <w:name w:val="&quot;普通(网站)1&quot;6"/>
    <w:basedOn w:val="722"/>
    <w:qFormat/>
    <w:pPr>
      <w:spacing w:beforeAutospacing="1" w:after="160" w:afterAutospacing="1" w:line="278" w:lineRule="auto"/>
      <w:widowControl w:val="off"/>
    </w:pPr>
    <w:rPr>
      <w:sz w:val="24"/>
    </w:rPr>
  </w:style>
  <w:style w:type="paragraph" w:styleId="1345" w:customStyle="1">
    <w:name w:val="&quot;纯文本111&quot;6"/>
    <w:basedOn w:val="722"/>
    <w:qFormat/>
    <w:pPr>
      <w:spacing w:after="160" w:line="278" w:lineRule="auto"/>
    </w:pPr>
    <w:rPr>
      <w:rFonts w:ascii="宋体" w:hAnsi="Courier New" w:eastAsia="楷体_GB2312" w:cs="宋体"/>
      <w:sz w:val="26"/>
    </w:rPr>
  </w:style>
  <w:style w:type="paragraph" w:styleId="1346" w:customStyle="1">
    <w:name w:val="&quot;正文缩进1&quot;6"/>
    <w:basedOn w:val="722"/>
    <w:qFormat/>
    <w:pPr>
      <w:ind w:firstLine="420"/>
      <w:spacing w:after="160" w:line="278" w:lineRule="auto"/>
      <w:widowControl w:val="off"/>
    </w:pPr>
    <w:rPr>
      <w:rFonts w:eastAsia="楷体_GB2312"/>
      <w:sz w:val="24"/>
      <w:szCs w:val="20"/>
    </w:rPr>
  </w:style>
  <w:style w:type="paragraph" w:styleId="1347" w:customStyle="1">
    <w:name w:val="&quot;PlainText1&quot;6"/>
    <w:basedOn w:val="722"/>
    <w:qFormat/>
    <w:pPr>
      <w:jc w:val="both"/>
      <w:spacing w:after="160" w:line="278" w:lineRule="auto"/>
      <w:widowControl w:val="off"/>
    </w:pPr>
    <w:rPr>
      <w:rFonts w:ascii="宋体" w:hAnsi="Courier New" w:eastAsia="楷体_GB2312" w:cs="宋体"/>
      <w:sz w:val="28"/>
    </w:rPr>
  </w:style>
  <w:style w:type="paragraph" w:styleId="1348" w:customStyle="1">
    <w:name w:val="&quot;正文文本缩进 21&quot;6"/>
    <w:basedOn w:val="722"/>
    <w:qFormat/>
    <w:pPr>
      <w:ind w:left="1" w:firstLine="480"/>
      <w:jc w:val="both"/>
      <w:spacing w:after="160" w:line="400" w:lineRule="exact"/>
      <w:widowControl w:val="off"/>
      <w:tabs>
        <w:tab w:val="left" w:pos="360" w:leader="none"/>
      </w:tabs>
    </w:pPr>
    <w:rPr>
      <w:sz w:val="24"/>
    </w:rPr>
  </w:style>
  <w:style w:type="paragraph" w:styleId="1349" w:customStyle="1">
    <w:name w:val="&quot;页脚1&quot;6"/>
    <w:basedOn w:val="722"/>
    <w:qFormat/>
    <w:pPr>
      <w:spacing w:after="160" w:line="278" w:lineRule="auto"/>
      <w:widowControl w:val="off"/>
      <w:tabs>
        <w:tab w:val="center" w:pos="4140" w:leader="none"/>
        <w:tab w:val="right" w:pos="8300" w:leader="none"/>
      </w:tabs>
    </w:pPr>
    <w:rPr>
      <w:rFonts w:ascii="Calibri" w:hAnsi="Calibri" w:cs="Calibri"/>
      <w:sz w:val="18"/>
    </w:rPr>
  </w:style>
  <w:style w:type="paragraph" w:styleId="1350" w:customStyle="1">
    <w:name w:val="&quot;目录 11&quot;6"/>
    <w:basedOn w:val="722"/>
    <w:qFormat/>
    <w:pPr>
      <w:spacing w:after="160" w:line="278" w:lineRule="auto"/>
      <w:widowControl w:val="off"/>
    </w:pPr>
    <w:rPr>
      <w:rFonts w:eastAsia="楷体_GB2312"/>
      <w:sz w:val="24"/>
      <w:szCs w:val="20"/>
    </w:rPr>
  </w:style>
  <w:style w:type="paragraph" w:styleId="1351" w:customStyle="1">
    <w:name w:val="&quot;正文1&quot;"/>
    <w:basedOn w:val="722"/>
    <w:pPr>
      <w:ind w:left="420" w:firstLine="520"/>
      <w:jc w:val="both"/>
      <w:spacing w:before="120" w:line="360" w:lineRule="auto"/>
      <w:widowControl w:val="off"/>
    </w:pPr>
    <w:rPr>
      <w:rFonts w:ascii="宋体" w:hAnsi="宋体" w:eastAsia="等线" w:cs="宋体"/>
      <w:szCs w:val="22"/>
    </w:rPr>
  </w:style>
  <w:style w:type="paragraph" w:styleId="1352" w:customStyle="1">
    <w:name w:val="&quot;普通(网站)1&quot;7"/>
    <w:basedOn w:val="722"/>
    <w:qFormat/>
    <w:pPr>
      <w:spacing w:beforeAutospacing="1" w:afterAutospacing="1" w:line="278" w:lineRule="auto"/>
      <w:widowControl w:val="off"/>
    </w:pPr>
    <w:rPr>
      <w:sz w:val="24"/>
    </w:rPr>
  </w:style>
  <w:style w:type="paragraph" w:styleId="1353" w:customStyle="1">
    <w:name w:val="&quot;纯文本111&quot;7"/>
    <w:basedOn w:val="722"/>
    <w:qFormat/>
    <w:pPr>
      <w:spacing w:line="278" w:lineRule="auto"/>
    </w:pPr>
    <w:rPr>
      <w:rFonts w:ascii="宋体" w:hAnsi="Courier New" w:eastAsia="楷体_GB2312"/>
      <w:sz w:val="26"/>
    </w:rPr>
  </w:style>
  <w:style w:type="paragraph" w:styleId="1354" w:customStyle="1">
    <w:name w:val="&quot;Plain Text1&quot;"/>
    <w:basedOn w:val="722"/>
    <w:qFormat/>
    <w:pPr>
      <w:jc w:val="both"/>
      <w:spacing w:line="278" w:lineRule="auto"/>
      <w:widowControl w:val="off"/>
    </w:pPr>
    <w:rPr>
      <w:rFonts w:ascii="宋体" w:hAnsi="Courier New"/>
      <w:sz w:val="26"/>
      <w:szCs w:val="20"/>
    </w:rPr>
  </w:style>
  <w:style w:type="paragraph" w:styleId="1355" w:customStyle="1">
    <w:name w:val="&quot;正文缩进1&quot;7"/>
    <w:basedOn w:val="722"/>
    <w:qFormat/>
    <w:pPr>
      <w:ind w:firstLine="420"/>
      <w:spacing w:line="278" w:lineRule="auto"/>
      <w:widowControl w:val="off"/>
    </w:pPr>
    <w:rPr>
      <w:rFonts w:eastAsia="楷体_GB2312"/>
      <w:sz w:val="24"/>
      <w:szCs w:val="20"/>
    </w:rPr>
  </w:style>
  <w:style w:type="paragraph" w:styleId="1356" w:customStyle="1">
    <w:name w:val="&quot;PlainText1&quot;7"/>
    <w:basedOn w:val="722"/>
    <w:qFormat/>
    <w:pPr>
      <w:jc w:val="both"/>
      <w:spacing w:line="278" w:lineRule="auto"/>
      <w:widowControl w:val="off"/>
    </w:pPr>
    <w:rPr>
      <w:rFonts w:ascii="宋体" w:hAnsi="Courier New" w:eastAsia="楷体_GB2312"/>
      <w:sz w:val="28"/>
    </w:rPr>
  </w:style>
  <w:style w:type="paragraph" w:styleId="1357" w:customStyle="1">
    <w:name w:val="&quot;正文文本缩进 21&quot;7"/>
    <w:basedOn w:val="722"/>
    <w:qFormat/>
    <w:pPr>
      <w:ind w:left="1" w:firstLine="480"/>
      <w:jc w:val="both"/>
      <w:spacing w:line="400" w:lineRule="exact"/>
      <w:widowControl w:val="off"/>
      <w:tabs>
        <w:tab w:val="left" w:pos="360" w:leader="none"/>
      </w:tabs>
    </w:pPr>
    <w:rPr>
      <w:sz w:val="24"/>
    </w:rPr>
  </w:style>
  <w:style w:type="paragraph" w:styleId="1358" w:customStyle="1">
    <w:name w:val="&quot;页脚1&quot;7"/>
    <w:basedOn w:val="722"/>
    <w:qFormat/>
    <w:pPr>
      <w:spacing w:line="278" w:lineRule="auto"/>
      <w:widowControl w:val="off"/>
      <w:tabs>
        <w:tab w:val="center" w:pos="4140" w:leader="none"/>
        <w:tab w:val="right" w:pos="8300" w:leader="none"/>
      </w:tabs>
    </w:pPr>
    <w:rPr>
      <w:rFonts w:ascii="Calibri" w:hAnsi="Calibri"/>
      <w:sz w:val="18"/>
    </w:rPr>
  </w:style>
  <w:style w:type="paragraph" w:styleId="1359" w:customStyle="1">
    <w:name w:val="&quot;正文1&quot;1"/>
    <w:basedOn w:val="722"/>
    <w:qFormat/>
    <w:pPr>
      <w:ind w:firstLine="480"/>
      <w:jc w:val="both"/>
      <w:spacing w:line="440" w:lineRule="exact"/>
      <w:widowControl w:val="off"/>
    </w:pPr>
    <w:rPr>
      <w:color w:val="000000"/>
      <w:sz w:val="24"/>
      <w:szCs w:val="32"/>
    </w:rPr>
  </w:style>
  <w:style w:type="paragraph" w:styleId="1360" w:customStyle="1">
    <w:name w:val="&quot;Heading 4&quot;"/>
    <w:basedOn w:val="722"/>
    <w:qFormat/>
    <w:pPr>
      <w:jc w:val="both"/>
      <w:keepLines/>
      <w:keepNext/>
      <w:spacing w:before="320" w:after="200" w:line="278" w:lineRule="auto"/>
      <w:widowControl w:val="off"/>
      <w:outlineLvl w:val="3"/>
    </w:pPr>
    <w:rPr>
      <w:rFonts w:ascii="Arial" w:hAnsi="Arial" w:eastAsia="Arial" w:cs="Arial"/>
      <w:b/>
      <w:bCs/>
      <w:sz w:val="26"/>
      <w:szCs w:val="26"/>
    </w:rPr>
  </w:style>
  <w:style w:type="paragraph" w:styleId="1361" w:customStyle="1">
    <w:name w:val="&quot;目录 11&quot;7"/>
    <w:basedOn w:val="722"/>
    <w:qFormat/>
    <w:pPr>
      <w:spacing w:line="278" w:lineRule="auto"/>
      <w:widowControl w:val="off"/>
    </w:pPr>
    <w:rPr>
      <w:rFonts w:eastAsia="楷体_GB2312"/>
      <w:sz w:val="24"/>
      <w:szCs w:val="20"/>
    </w:rPr>
  </w:style>
  <w:style w:type="paragraph" w:styleId="1362" w:customStyle="1">
    <w:name w:val="&quot;普通(网站)1&quot;8"/>
    <w:basedOn w:val="722"/>
    <w:qFormat/>
    <w:pPr>
      <w:spacing w:beforeAutospacing="1" w:afterAutospacing="1" w:line="278" w:lineRule="auto"/>
      <w:widowControl w:val="off"/>
    </w:pPr>
    <w:rPr>
      <w:sz w:val="24"/>
    </w:rPr>
  </w:style>
  <w:style w:type="paragraph" w:styleId="1363" w:customStyle="1">
    <w:name w:val="&quot;纯文本111&quot;8"/>
    <w:basedOn w:val="722"/>
    <w:qFormat/>
    <w:pPr>
      <w:spacing w:line="278" w:lineRule="auto"/>
    </w:pPr>
    <w:rPr>
      <w:rFonts w:ascii="宋体" w:hAnsi="Courier New" w:eastAsia="楷体_GB2312"/>
      <w:sz w:val="26"/>
    </w:rPr>
  </w:style>
  <w:style w:type="paragraph" w:styleId="1364" w:customStyle="1">
    <w:name w:val="&quot;Plain Text1&quot;1"/>
    <w:basedOn w:val="722"/>
    <w:qFormat/>
    <w:pPr>
      <w:jc w:val="both"/>
      <w:spacing w:line="278" w:lineRule="auto"/>
      <w:widowControl w:val="off"/>
    </w:pPr>
    <w:rPr>
      <w:rFonts w:ascii="宋体" w:hAnsi="Courier New"/>
      <w:sz w:val="26"/>
      <w:szCs w:val="20"/>
    </w:rPr>
  </w:style>
  <w:style w:type="paragraph" w:styleId="1365" w:customStyle="1">
    <w:name w:val="&quot;正文缩进1&quot;8"/>
    <w:basedOn w:val="722"/>
    <w:qFormat/>
    <w:pPr>
      <w:ind w:firstLine="420"/>
      <w:spacing w:line="278" w:lineRule="auto"/>
      <w:widowControl w:val="off"/>
    </w:pPr>
    <w:rPr>
      <w:rFonts w:eastAsia="楷体_GB2312"/>
      <w:sz w:val="24"/>
      <w:szCs w:val="20"/>
    </w:rPr>
  </w:style>
  <w:style w:type="paragraph" w:styleId="1366" w:customStyle="1">
    <w:name w:val="&quot;PlainText1&quot;8"/>
    <w:basedOn w:val="722"/>
    <w:qFormat/>
    <w:pPr>
      <w:jc w:val="both"/>
      <w:spacing w:line="278" w:lineRule="auto"/>
      <w:widowControl w:val="off"/>
    </w:pPr>
    <w:rPr>
      <w:rFonts w:ascii="宋体" w:hAnsi="Courier New" w:eastAsia="楷体_GB2312"/>
      <w:sz w:val="28"/>
    </w:rPr>
  </w:style>
  <w:style w:type="paragraph" w:styleId="1367" w:customStyle="1">
    <w:name w:val="&quot;正文文本缩进 21&quot;8"/>
    <w:basedOn w:val="722"/>
    <w:qFormat/>
    <w:pPr>
      <w:ind w:left="1" w:firstLine="480"/>
      <w:jc w:val="both"/>
      <w:spacing w:line="400" w:lineRule="exact"/>
      <w:widowControl w:val="off"/>
      <w:tabs>
        <w:tab w:val="left" w:pos="360" w:leader="none"/>
      </w:tabs>
    </w:pPr>
    <w:rPr>
      <w:sz w:val="24"/>
    </w:rPr>
  </w:style>
  <w:style w:type="paragraph" w:styleId="1368" w:customStyle="1">
    <w:name w:val="&quot;页脚1&quot;8"/>
    <w:basedOn w:val="722"/>
    <w:qFormat/>
    <w:pPr>
      <w:spacing w:line="278" w:lineRule="auto"/>
      <w:widowControl w:val="off"/>
      <w:tabs>
        <w:tab w:val="center" w:pos="4140" w:leader="none"/>
        <w:tab w:val="right" w:pos="8300" w:leader="none"/>
      </w:tabs>
    </w:pPr>
    <w:rPr>
      <w:rFonts w:ascii="Calibri" w:hAnsi="Calibri"/>
      <w:sz w:val="18"/>
    </w:rPr>
  </w:style>
  <w:style w:type="paragraph" w:styleId="1369" w:customStyle="1">
    <w:name w:val="&quot;正文1&quot;2"/>
    <w:basedOn w:val="722"/>
    <w:qFormat/>
    <w:pPr>
      <w:ind w:firstLine="480"/>
      <w:jc w:val="both"/>
      <w:spacing w:line="440" w:lineRule="exact"/>
      <w:widowControl w:val="off"/>
    </w:pPr>
    <w:rPr>
      <w:color w:val="000000"/>
      <w:sz w:val="24"/>
      <w:szCs w:val="32"/>
    </w:rPr>
  </w:style>
  <w:style w:type="paragraph" w:styleId="1370" w:customStyle="1">
    <w:name w:val="&quot;Heading 4&quot;1"/>
    <w:basedOn w:val="722"/>
    <w:qFormat/>
    <w:pPr>
      <w:jc w:val="both"/>
      <w:keepLines/>
      <w:keepNext/>
      <w:spacing w:before="320" w:after="200" w:line="278" w:lineRule="auto"/>
      <w:widowControl w:val="off"/>
      <w:outlineLvl w:val="3"/>
    </w:pPr>
    <w:rPr>
      <w:rFonts w:ascii="Arial" w:hAnsi="Arial" w:eastAsia="Arial" w:cs="Arial"/>
      <w:b/>
      <w:bCs/>
      <w:sz w:val="26"/>
      <w:szCs w:val="26"/>
    </w:rPr>
  </w:style>
  <w:style w:type="paragraph" w:styleId="1371" w:customStyle="1">
    <w:name w:val="&quot;目录 11&quot;8"/>
    <w:basedOn w:val="722"/>
    <w:qFormat/>
    <w:pPr>
      <w:spacing w:line="278" w:lineRule="auto"/>
      <w:widowControl w:val="off"/>
    </w:pPr>
    <w:rPr>
      <w:rFonts w:eastAsia="楷体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郭巷实验小学（金港校区）代课教师服务-采购文件2</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苏州铖溢林建设工程管理有限公司</dc:creator>
  <cp:keywords/>
  <cp:lastModifiedBy>刘艳</cp:lastModifiedBy>
  <cp:revision>13</cp:revision>
  <dcterms:created xsi:type="dcterms:W3CDTF">2025-11-24T13:10:00Z</dcterms:created>
  <dcterms:modified xsi:type="dcterms:W3CDTF">2025-11-25T03:58:58Z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eyJoZGlkIjoiNmJmZmEzZjE4OTY0Mjc1YTFmM2QxMGI4Y2FiZjYyNWIiLCJ1c2VySWQiOiI3MzQ2NTcwNzYifQ==</vt:lpwstr>
  </property>
  <property fmtid="{D5CDD505-2E9C-101B-9397-08002B2CF9AE}" pid="3" name="KSOProductBuildVer">
    <vt:lpwstr>2052-12.1.0.20305</vt:lpwstr>
  </property>
  <property fmtid="{D5CDD505-2E9C-101B-9397-08002B2CF9AE}" pid="4" name="ICV">
    <vt:lpwstr>9D23E876E4844641836C1E41D6BEC358_12</vt:lpwstr>
  </property>
</Properties>
</file>